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F7" w:rsidRDefault="002F73F7" w:rsidP="005F7BCA">
      <w:pPr>
        <w:jc w:val="center"/>
        <w:rPr>
          <w:b/>
          <w:bCs/>
          <w:sz w:val="26"/>
          <w:szCs w:val="26"/>
          <w:rtl/>
        </w:rPr>
      </w:pPr>
      <w:r>
        <w:rPr>
          <w:noProof/>
        </w:rPr>
        <w:drawing>
          <wp:inline distT="0" distB="0" distL="0" distR="0" wp14:anchorId="31891C2D" wp14:editId="740AAB28">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2F73F7" w:rsidRDefault="002F73F7" w:rsidP="005F7BCA">
      <w:pPr>
        <w:rPr>
          <w:b/>
          <w:bCs/>
          <w:sz w:val="26"/>
          <w:szCs w:val="26"/>
          <w:rtl/>
        </w:rPr>
      </w:pPr>
      <w:r w:rsidRPr="00CB5068">
        <w:rPr>
          <w:b/>
          <w:bCs/>
          <w:sz w:val="26"/>
          <w:szCs w:val="26"/>
          <w:rtl/>
        </w:rPr>
        <w:t>תוכן עניינים</w:t>
      </w:r>
    </w:p>
    <w:p w:rsidR="002F73F7" w:rsidRDefault="002F73F7" w:rsidP="002F73F7">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50339044" w:history="1">
        <w:r w:rsidRPr="00351EF1">
          <w:rPr>
            <w:rStyle w:val="Hyperlink"/>
            <w:noProof/>
            <w:rtl/>
          </w:rPr>
          <w:t>טיוטת תקנות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Toc150339044 \h</w:instrText>
        </w:r>
        <w:r>
          <w:rPr>
            <w:noProof/>
            <w:webHidden/>
            <w:rtl/>
          </w:rPr>
          <w:instrText xml:space="preserve"> </w:instrText>
        </w:r>
        <w:r>
          <w:rPr>
            <w:noProof/>
            <w:webHidden/>
            <w:rtl/>
          </w:rPr>
        </w:r>
        <w:r>
          <w:rPr>
            <w:noProof/>
            <w:webHidden/>
            <w:rtl/>
          </w:rPr>
          <w:fldChar w:fldCharType="separate"/>
        </w:r>
        <w:r w:rsidR="0041444D">
          <w:rPr>
            <w:noProof/>
            <w:webHidden/>
            <w:rtl/>
          </w:rPr>
          <w:t>2</w:t>
        </w:r>
        <w:r>
          <w:rPr>
            <w:noProof/>
            <w:webHidden/>
            <w:rtl/>
          </w:rPr>
          <w:fldChar w:fldCharType="end"/>
        </w:r>
      </w:hyperlink>
    </w:p>
    <w:p w:rsidR="002F73F7" w:rsidRDefault="00170FC3" w:rsidP="002F73F7">
      <w:pPr>
        <w:pStyle w:val="TOC4"/>
        <w:rPr>
          <w:rFonts w:cstheme="minorBidi"/>
          <w:rtl/>
        </w:rPr>
      </w:pPr>
      <w:hyperlink w:anchor="_Toc150339045" w:history="1">
        <w:r w:rsidR="002F73F7" w:rsidRPr="00351EF1">
          <w:rPr>
            <w:rStyle w:val="Hyperlink"/>
            <w:rtl/>
          </w:rPr>
          <w:t>א. שם התקנות המוצעות</w:t>
        </w:r>
        <w:r w:rsidR="002F73F7">
          <w:rPr>
            <w:webHidden/>
            <w:rtl/>
          </w:rPr>
          <w:tab/>
        </w:r>
        <w:r w:rsidR="002F73F7">
          <w:rPr>
            <w:webHidden/>
            <w:rtl/>
          </w:rPr>
          <w:fldChar w:fldCharType="begin"/>
        </w:r>
        <w:r w:rsidR="002F73F7">
          <w:rPr>
            <w:webHidden/>
            <w:rtl/>
          </w:rPr>
          <w:instrText xml:space="preserve"> </w:instrText>
        </w:r>
        <w:r w:rsidR="002F73F7">
          <w:rPr>
            <w:webHidden/>
          </w:rPr>
          <w:instrText>PAGEREF</w:instrText>
        </w:r>
        <w:r w:rsidR="002F73F7">
          <w:rPr>
            <w:webHidden/>
            <w:rtl/>
          </w:rPr>
          <w:instrText xml:space="preserve"> _</w:instrText>
        </w:r>
        <w:r w:rsidR="002F73F7">
          <w:rPr>
            <w:webHidden/>
          </w:rPr>
          <w:instrText>Toc150339045 \h</w:instrText>
        </w:r>
        <w:r w:rsidR="002F73F7">
          <w:rPr>
            <w:webHidden/>
            <w:rtl/>
          </w:rPr>
          <w:instrText xml:space="preserve"> </w:instrText>
        </w:r>
        <w:r w:rsidR="002F73F7">
          <w:rPr>
            <w:webHidden/>
            <w:rtl/>
          </w:rPr>
        </w:r>
        <w:r w:rsidR="002F73F7">
          <w:rPr>
            <w:webHidden/>
            <w:rtl/>
          </w:rPr>
          <w:fldChar w:fldCharType="separate"/>
        </w:r>
        <w:r w:rsidR="0041444D">
          <w:rPr>
            <w:webHidden/>
            <w:rtl/>
          </w:rPr>
          <w:t>2</w:t>
        </w:r>
        <w:r w:rsidR="002F73F7">
          <w:rPr>
            <w:webHidden/>
            <w:rtl/>
          </w:rPr>
          <w:fldChar w:fldCharType="end"/>
        </w:r>
      </w:hyperlink>
    </w:p>
    <w:p w:rsidR="002F73F7" w:rsidRDefault="00170FC3" w:rsidP="002F73F7">
      <w:pPr>
        <w:pStyle w:val="TOC4"/>
        <w:rPr>
          <w:rFonts w:cstheme="minorBidi"/>
          <w:rtl/>
        </w:rPr>
      </w:pPr>
      <w:hyperlink w:anchor="_Toc150339046" w:history="1">
        <w:r w:rsidR="002F73F7" w:rsidRPr="00351EF1">
          <w:rPr>
            <w:rStyle w:val="Hyperlink"/>
            <w:rtl/>
          </w:rPr>
          <w:t>ב. מטרת התקנות המוצעות והצורך בהן</w:t>
        </w:r>
        <w:r w:rsidR="002F73F7">
          <w:rPr>
            <w:webHidden/>
            <w:rtl/>
          </w:rPr>
          <w:tab/>
        </w:r>
        <w:r w:rsidR="002F73F7">
          <w:rPr>
            <w:webHidden/>
            <w:rtl/>
          </w:rPr>
          <w:fldChar w:fldCharType="begin"/>
        </w:r>
        <w:r w:rsidR="002F73F7">
          <w:rPr>
            <w:webHidden/>
            <w:rtl/>
          </w:rPr>
          <w:instrText xml:space="preserve"> </w:instrText>
        </w:r>
        <w:r w:rsidR="002F73F7">
          <w:rPr>
            <w:webHidden/>
          </w:rPr>
          <w:instrText>PAGEREF</w:instrText>
        </w:r>
        <w:r w:rsidR="002F73F7">
          <w:rPr>
            <w:webHidden/>
            <w:rtl/>
          </w:rPr>
          <w:instrText xml:space="preserve"> _</w:instrText>
        </w:r>
        <w:r w:rsidR="002F73F7">
          <w:rPr>
            <w:webHidden/>
          </w:rPr>
          <w:instrText>Toc150339046 \h</w:instrText>
        </w:r>
        <w:r w:rsidR="002F73F7">
          <w:rPr>
            <w:webHidden/>
            <w:rtl/>
          </w:rPr>
          <w:instrText xml:space="preserve"> </w:instrText>
        </w:r>
        <w:r w:rsidR="002F73F7">
          <w:rPr>
            <w:webHidden/>
            <w:rtl/>
          </w:rPr>
        </w:r>
        <w:r w:rsidR="002F73F7">
          <w:rPr>
            <w:webHidden/>
            <w:rtl/>
          </w:rPr>
          <w:fldChar w:fldCharType="separate"/>
        </w:r>
        <w:r w:rsidR="0041444D">
          <w:rPr>
            <w:webHidden/>
            <w:rtl/>
          </w:rPr>
          <w:t>2</w:t>
        </w:r>
        <w:r w:rsidR="002F73F7">
          <w:rPr>
            <w:webHidden/>
            <w:rtl/>
          </w:rPr>
          <w:fldChar w:fldCharType="end"/>
        </w:r>
      </w:hyperlink>
    </w:p>
    <w:p w:rsidR="002F73F7" w:rsidRDefault="00170FC3" w:rsidP="002F73F7">
      <w:pPr>
        <w:pStyle w:val="TOC4"/>
        <w:rPr>
          <w:rFonts w:cstheme="minorBidi"/>
          <w:rtl/>
        </w:rPr>
      </w:pPr>
      <w:hyperlink w:anchor="_Toc150339047" w:history="1">
        <w:r w:rsidR="002F73F7" w:rsidRPr="00351EF1">
          <w:rPr>
            <w:rStyle w:val="Hyperlink"/>
            <w:rtl/>
          </w:rPr>
          <w:t>ג. להלן נוסח טיוטת התקנות המוצעות:</w:t>
        </w:r>
        <w:r w:rsidR="002F73F7">
          <w:rPr>
            <w:webHidden/>
            <w:rtl/>
          </w:rPr>
          <w:tab/>
        </w:r>
        <w:r w:rsidR="002F73F7">
          <w:rPr>
            <w:webHidden/>
            <w:rtl/>
          </w:rPr>
          <w:fldChar w:fldCharType="begin"/>
        </w:r>
        <w:r w:rsidR="002F73F7">
          <w:rPr>
            <w:webHidden/>
            <w:rtl/>
          </w:rPr>
          <w:instrText xml:space="preserve"> </w:instrText>
        </w:r>
        <w:r w:rsidR="002F73F7">
          <w:rPr>
            <w:webHidden/>
          </w:rPr>
          <w:instrText>PAGEREF</w:instrText>
        </w:r>
        <w:r w:rsidR="002F73F7">
          <w:rPr>
            <w:webHidden/>
            <w:rtl/>
          </w:rPr>
          <w:instrText xml:space="preserve"> _</w:instrText>
        </w:r>
        <w:r w:rsidR="002F73F7">
          <w:rPr>
            <w:webHidden/>
          </w:rPr>
          <w:instrText>Toc150339047 \h</w:instrText>
        </w:r>
        <w:r w:rsidR="002F73F7">
          <w:rPr>
            <w:webHidden/>
            <w:rtl/>
          </w:rPr>
          <w:instrText xml:space="preserve"> </w:instrText>
        </w:r>
        <w:r w:rsidR="002F73F7">
          <w:rPr>
            <w:webHidden/>
            <w:rtl/>
          </w:rPr>
        </w:r>
        <w:r w:rsidR="002F73F7">
          <w:rPr>
            <w:webHidden/>
            <w:rtl/>
          </w:rPr>
          <w:fldChar w:fldCharType="separate"/>
        </w:r>
        <w:r w:rsidR="0041444D">
          <w:rPr>
            <w:webHidden/>
            <w:rtl/>
          </w:rPr>
          <w:t>2</w:t>
        </w:r>
        <w:r w:rsidR="002F73F7">
          <w:rPr>
            <w:webHidden/>
            <w:rtl/>
          </w:rPr>
          <w:fldChar w:fldCharType="end"/>
        </w:r>
      </w:hyperlink>
    </w:p>
    <w:p w:rsidR="002F73F7" w:rsidRDefault="00170FC3" w:rsidP="002F73F7">
      <w:pPr>
        <w:pStyle w:val="TOC1"/>
        <w:rPr>
          <w:rFonts w:asciiTheme="minorHAnsi" w:eastAsiaTheme="minorEastAsia" w:hAnsiTheme="minorHAnsi" w:cstheme="minorBidi"/>
          <w:bCs w:val="0"/>
          <w:noProof/>
          <w:sz w:val="22"/>
          <w:rtl/>
        </w:rPr>
      </w:pPr>
      <w:hyperlink w:anchor="_Toc150339048" w:history="1">
        <w:r w:rsidR="002F73F7" w:rsidRPr="00351EF1">
          <w:rPr>
            <w:rStyle w:val="Hyperlink"/>
            <w:noProof/>
            <w:rtl/>
          </w:rPr>
          <w:t>טיוטת תקנות חובת המכרזים (הוראת שעה – חרבות ברזל), התשפ"ד-2023</w:t>
        </w:r>
        <w:r w:rsidR="002F73F7">
          <w:rPr>
            <w:noProof/>
            <w:webHidden/>
            <w:rtl/>
          </w:rPr>
          <w:tab/>
        </w:r>
        <w:r w:rsidR="002F73F7">
          <w:rPr>
            <w:noProof/>
            <w:webHidden/>
            <w:rtl/>
          </w:rPr>
          <w:fldChar w:fldCharType="begin"/>
        </w:r>
        <w:r w:rsidR="002F73F7">
          <w:rPr>
            <w:noProof/>
            <w:webHidden/>
            <w:rtl/>
          </w:rPr>
          <w:instrText xml:space="preserve"> </w:instrText>
        </w:r>
        <w:r w:rsidR="002F73F7">
          <w:rPr>
            <w:noProof/>
            <w:webHidden/>
          </w:rPr>
          <w:instrText>PAGEREF</w:instrText>
        </w:r>
        <w:r w:rsidR="002F73F7">
          <w:rPr>
            <w:noProof/>
            <w:webHidden/>
            <w:rtl/>
          </w:rPr>
          <w:instrText xml:space="preserve"> _</w:instrText>
        </w:r>
        <w:r w:rsidR="002F73F7">
          <w:rPr>
            <w:noProof/>
            <w:webHidden/>
          </w:rPr>
          <w:instrText>Toc150339048 \h</w:instrText>
        </w:r>
        <w:r w:rsidR="002F73F7">
          <w:rPr>
            <w:noProof/>
            <w:webHidden/>
            <w:rtl/>
          </w:rPr>
          <w:instrText xml:space="preserve"> </w:instrText>
        </w:r>
        <w:r w:rsidR="002F73F7">
          <w:rPr>
            <w:noProof/>
            <w:webHidden/>
            <w:rtl/>
          </w:rPr>
        </w:r>
        <w:r w:rsidR="002F73F7">
          <w:rPr>
            <w:noProof/>
            <w:webHidden/>
            <w:rtl/>
          </w:rPr>
          <w:fldChar w:fldCharType="separate"/>
        </w:r>
        <w:r w:rsidR="0041444D">
          <w:rPr>
            <w:noProof/>
            <w:webHidden/>
            <w:rtl/>
          </w:rPr>
          <w:t>3</w:t>
        </w:r>
        <w:r w:rsidR="002F73F7">
          <w:rPr>
            <w:noProof/>
            <w:webHidden/>
            <w:rtl/>
          </w:rPr>
          <w:fldChar w:fldCharType="end"/>
        </w:r>
      </w:hyperlink>
    </w:p>
    <w:p w:rsidR="002F73F7" w:rsidRDefault="00170FC3" w:rsidP="002F73F7">
      <w:pPr>
        <w:pStyle w:val="TOC3"/>
        <w:rPr>
          <w:rFonts w:asciiTheme="minorHAnsi" w:eastAsiaTheme="minorEastAsia" w:hAnsiTheme="minorHAnsi" w:cstheme="minorBidi"/>
          <w:noProof/>
          <w:sz w:val="22"/>
          <w:rtl/>
        </w:rPr>
      </w:pPr>
      <w:hyperlink w:anchor="_Toc150339049" w:history="1">
        <w:r w:rsidR="002F73F7" w:rsidRPr="00351EF1">
          <w:rPr>
            <w:rStyle w:val="Hyperlink"/>
            <w:noProof/>
            <w:rtl/>
          </w:rPr>
          <w:t>הוראת שעה</w:t>
        </w:r>
        <w:r w:rsidR="002F73F7">
          <w:rPr>
            <w:noProof/>
            <w:webHidden/>
            <w:rtl/>
          </w:rPr>
          <w:tab/>
        </w:r>
        <w:r w:rsidR="002F73F7">
          <w:rPr>
            <w:noProof/>
            <w:webHidden/>
            <w:rtl/>
          </w:rPr>
          <w:fldChar w:fldCharType="begin"/>
        </w:r>
        <w:r w:rsidR="002F73F7">
          <w:rPr>
            <w:noProof/>
            <w:webHidden/>
            <w:rtl/>
          </w:rPr>
          <w:instrText xml:space="preserve"> </w:instrText>
        </w:r>
        <w:r w:rsidR="002F73F7">
          <w:rPr>
            <w:noProof/>
            <w:webHidden/>
          </w:rPr>
          <w:instrText>PAGEREF</w:instrText>
        </w:r>
        <w:r w:rsidR="002F73F7">
          <w:rPr>
            <w:noProof/>
            <w:webHidden/>
            <w:rtl/>
          </w:rPr>
          <w:instrText xml:space="preserve"> _</w:instrText>
        </w:r>
        <w:r w:rsidR="002F73F7">
          <w:rPr>
            <w:noProof/>
            <w:webHidden/>
          </w:rPr>
          <w:instrText>Toc150339049 \h</w:instrText>
        </w:r>
        <w:r w:rsidR="002F73F7">
          <w:rPr>
            <w:noProof/>
            <w:webHidden/>
            <w:rtl/>
          </w:rPr>
          <w:instrText xml:space="preserve"> </w:instrText>
        </w:r>
        <w:r w:rsidR="002F73F7">
          <w:rPr>
            <w:noProof/>
            <w:webHidden/>
            <w:rtl/>
          </w:rPr>
        </w:r>
        <w:r w:rsidR="002F73F7">
          <w:rPr>
            <w:noProof/>
            <w:webHidden/>
            <w:rtl/>
          </w:rPr>
          <w:fldChar w:fldCharType="separate"/>
        </w:r>
        <w:r w:rsidR="0041444D">
          <w:rPr>
            <w:rFonts w:hint="cs"/>
            <w:noProof/>
            <w:webHidden/>
            <w:rtl/>
          </w:rPr>
          <w:t>שגיאה! הסימניה אינה מוגדרת.</w:t>
        </w:r>
        <w:r w:rsidR="002F73F7">
          <w:rPr>
            <w:noProof/>
            <w:webHidden/>
            <w:rtl/>
          </w:rPr>
          <w:fldChar w:fldCharType="end"/>
        </w:r>
      </w:hyperlink>
    </w:p>
    <w:p w:rsidR="002F73F7" w:rsidRDefault="00170FC3" w:rsidP="002F73F7">
      <w:pPr>
        <w:pStyle w:val="TOC2"/>
        <w:rPr>
          <w:rFonts w:asciiTheme="minorHAnsi" w:eastAsiaTheme="minorEastAsia" w:hAnsiTheme="minorHAnsi" w:cstheme="minorBidi"/>
          <w:noProof/>
          <w:sz w:val="22"/>
          <w:rtl/>
        </w:rPr>
      </w:pPr>
      <w:hyperlink w:anchor="_Toc150339050" w:history="1">
        <w:r w:rsidR="002F73F7" w:rsidRPr="00351EF1">
          <w:rPr>
            <w:rStyle w:val="Hyperlink"/>
            <w:noProof/>
            <w:rtl/>
          </w:rPr>
          <w:t>דברי הסבר</w:t>
        </w:r>
        <w:r w:rsidR="002F73F7">
          <w:rPr>
            <w:noProof/>
            <w:webHidden/>
            <w:rtl/>
          </w:rPr>
          <w:tab/>
        </w:r>
        <w:r w:rsidR="002F73F7">
          <w:rPr>
            <w:noProof/>
            <w:webHidden/>
            <w:rtl/>
          </w:rPr>
          <w:fldChar w:fldCharType="begin"/>
        </w:r>
        <w:r w:rsidR="002F73F7">
          <w:rPr>
            <w:noProof/>
            <w:webHidden/>
            <w:rtl/>
          </w:rPr>
          <w:instrText xml:space="preserve"> </w:instrText>
        </w:r>
        <w:r w:rsidR="002F73F7">
          <w:rPr>
            <w:noProof/>
            <w:webHidden/>
          </w:rPr>
          <w:instrText>PAGEREF</w:instrText>
        </w:r>
        <w:r w:rsidR="002F73F7">
          <w:rPr>
            <w:noProof/>
            <w:webHidden/>
            <w:rtl/>
          </w:rPr>
          <w:instrText xml:space="preserve"> _</w:instrText>
        </w:r>
        <w:r w:rsidR="002F73F7">
          <w:rPr>
            <w:noProof/>
            <w:webHidden/>
          </w:rPr>
          <w:instrText>Toc150339050 \h</w:instrText>
        </w:r>
        <w:r w:rsidR="002F73F7">
          <w:rPr>
            <w:noProof/>
            <w:webHidden/>
            <w:rtl/>
          </w:rPr>
          <w:instrText xml:space="preserve"> </w:instrText>
        </w:r>
        <w:r w:rsidR="002F73F7">
          <w:rPr>
            <w:noProof/>
            <w:webHidden/>
            <w:rtl/>
          </w:rPr>
        </w:r>
        <w:r w:rsidR="002F73F7">
          <w:rPr>
            <w:noProof/>
            <w:webHidden/>
            <w:rtl/>
          </w:rPr>
          <w:fldChar w:fldCharType="separate"/>
        </w:r>
        <w:r w:rsidR="0041444D">
          <w:rPr>
            <w:noProof/>
            <w:webHidden/>
            <w:rtl/>
          </w:rPr>
          <w:t>6</w:t>
        </w:r>
        <w:r w:rsidR="002F73F7">
          <w:rPr>
            <w:noProof/>
            <w:webHidden/>
            <w:rtl/>
          </w:rPr>
          <w:fldChar w:fldCharType="end"/>
        </w:r>
      </w:hyperlink>
    </w:p>
    <w:p w:rsidR="002F73F7" w:rsidRDefault="002F73F7" w:rsidP="002F73F7">
      <w:pPr>
        <w:rPr>
          <w:snapToGrid w:val="0"/>
          <w:rtl/>
        </w:rPr>
      </w:pPr>
      <w:r>
        <w:rPr>
          <w:rtl/>
        </w:rPr>
        <w:fldChar w:fldCharType="end"/>
      </w:r>
      <w:r>
        <w:rPr>
          <w:rtl/>
        </w:rPr>
        <w:br w:type="page"/>
      </w:r>
    </w:p>
    <w:p w:rsidR="008C75D9" w:rsidRDefault="008C75D9" w:rsidP="005F7BCA">
      <w:pPr>
        <w:pStyle w:val="1"/>
        <w:keepNext w:val="0"/>
        <w:keepLines w:val="0"/>
      </w:pPr>
      <w:bookmarkStart w:id="0" w:name="_Toc150339033"/>
      <w:bookmarkStart w:id="1" w:name="_Toc150339044"/>
      <w:r>
        <w:rPr>
          <w:rtl/>
        </w:rPr>
        <w:t>טיוטת תקנות</w:t>
      </w:r>
      <w:bookmarkEnd w:id="0"/>
      <w:bookmarkEnd w:id="1"/>
    </w:p>
    <w:p w:rsidR="008C75D9" w:rsidRDefault="008C75D9" w:rsidP="005F7BCA">
      <w:pPr>
        <w:rPr>
          <w:rtl/>
        </w:rPr>
      </w:pPr>
    </w:p>
    <w:p w:rsidR="008C75D9" w:rsidRDefault="008C75D9" w:rsidP="008C75D9">
      <w:pPr>
        <w:pStyle w:val="4"/>
        <w:rPr>
          <w:rtl/>
        </w:rPr>
      </w:pPr>
      <w:bookmarkStart w:id="2" w:name="_Toc150339045"/>
      <w:r>
        <w:rPr>
          <w:rFonts w:hint="cs"/>
          <w:rtl/>
        </w:rPr>
        <w:t>שם התקנות המוצעות</w:t>
      </w:r>
      <w:bookmarkEnd w:id="2"/>
    </w:p>
    <w:p w:rsidR="008C75D9" w:rsidRDefault="0056743E" w:rsidP="00E933EE">
      <w:r>
        <w:rPr>
          <w:rFonts w:hint="cs"/>
          <w:rtl/>
        </w:rPr>
        <w:t>טיוטת תקנות חובת המכרזים (התקשרויות מנהלת תקומה)(הוראת שעה</w:t>
      </w:r>
      <w:r w:rsidR="00E933EE">
        <w:rPr>
          <w:rFonts w:hint="cs"/>
          <w:rtl/>
        </w:rPr>
        <w:t xml:space="preserve"> - חרבות ברזל</w:t>
      </w:r>
      <w:r>
        <w:rPr>
          <w:rFonts w:hint="cs"/>
          <w:rtl/>
        </w:rPr>
        <w:t>), התשפ"ד-2023</w:t>
      </w:r>
    </w:p>
    <w:p w:rsidR="008C75D9" w:rsidRDefault="008C75D9" w:rsidP="005F7BCA">
      <w:pPr>
        <w:rPr>
          <w:rtl/>
        </w:rPr>
      </w:pPr>
    </w:p>
    <w:p w:rsidR="008C75D9" w:rsidRDefault="008C75D9" w:rsidP="005F7BCA">
      <w:pPr>
        <w:rPr>
          <w:rtl/>
        </w:rPr>
      </w:pPr>
    </w:p>
    <w:p w:rsidR="008C75D9" w:rsidRDefault="008C75D9" w:rsidP="008C75D9">
      <w:pPr>
        <w:pStyle w:val="4"/>
        <w:rPr>
          <w:b w:val="0"/>
          <w:bCs w:val="0"/>
          <w:szCs w:val="24"/>
          <w:rtl/>
        </w:rPr>
      </w:pPr>
      <w:bookmarkStart w:id="3" w:name="_Toc150339046"/>
      <w:r>
        <w:rPr>
          <w:rFonts w:hint="cs"/>
          <w:rtl/>
        </w:rPr>
        <w:t>מטרת התקנות המוצעות והצורך בהן</w:t>
      </w:r>
      <w:bookmarkEnd w:id="3"/>
      <w:r>
        <w:rPr>
          <w:rFonts w:hint="cs"/>
          <w:rtl/>
        </w:rPr>
        <w:t xml:space="preserve"> </w:t>
      </w:r>
    </w:p>
    <w:p w:rsidR="00BA58B6" w:rsidRDefault="00BA58B6" w:rsidP="00BA58B6">
      <w:pPr>
        <w:rPr>
          <w:rtl/>
        </w:rPr>
      </w:pPr>
      <w:r>
        <w:rPr>
          <w:rFonts w:hint="cs"/>
          <w:rtl/>
        </w:rPr>
        <w:t>לנוכח מתקפת הטרור הרצחנית שהתרחשה ביום 7 באוקטובר 2023, הכריז שר הביטחון באותו היום על מצב מיוחד בעורף, מכוח סמכותו לפי סעיף 9ג(ב)(1) לחוק ההתגוננות האזרחית, התשי"א-1951. בהתאם לסעיף 9ג(א)(5) לאותו חוק, החליטה ועדת החוץ והביטחון של הכנסת, ביום 12 באוקטובר 2023, לאשר את ההכרזה בשטחה של כל מדינת ישראל. הכרזה זו מוארכת מזמן לזמן. כמו כן, הוכרז בצבא הגנה לישראל על מבצע "חרבות ברזל", וועדת השרים לענייני ביטחון לאומי החליטה על נקיטת פעולות צבאיות משמעותיות, בהתאם לסעיף 40 לחוק יסוד: הממשלה.</w:t>
      </w:r>
    </w:p>
    <w:p w:rsidR="00276741" w:rsidRDefault="00BA58B6" w:rsidP="00BA58B6">
      <w:pPr>
        <w:rPr>
          <w:rtl/>
        </w:rPr>
      </w:pPr>
      <w:r>
        <w:rPr>
          <w:rFonts w:hint="cs"/>
          <w:rtl/>
        </w:rPr>
        <w:t>נוכח האמור</w:t>
      </w:r>
      <w:r w:rsidR="00276741">
        <w:rPr>
          <w:rtl/>
        </w:rPr>
        <w:t>, ובמקביל למענים המידיים הניתנים על ידי משרדי הממשלה והגופים הממשלתיים הרלוונטיים במטרה לשקם, להצמיח ולפעול לפיתוח כלכלי-חברתי של חבל התקומה (אזור עוטף עזה) ואוכלוסייתו</w:t>
      </w:r>
      <w:r w:rsidR="00276741">
        <w:rPr>
          <w:rFonts w:hint="cs"/>
          <w:rtl/>
        </w:rPr>
        <w:t xml:space="preserve">, החליטה הממשלה ביום 19 באוקטובר 2023, במסגרת החלטה מספר 980 (חכ/6) שעניינה </w:t>
      </w:r>
      <w:r w:rsidR="00276741" w:rsidRPr="00276741">
        <w:rPr>
          <w:rtl/>
        </w:rPr>
        <w:t>הקמת מנהלת לשיקום ולפיתוח חבל 'התקומה' ואוכלוסייתו</w:t>
      </w:r>
      <w:r w:rsidR="000D3F91">
        <w:rPr>
          <w:rFonts w:hint="cs"/>
          <w:rtl/>
        </w:rPr>
        <w:t xml:space="preserve"> (להלן </w:t>
      </w:r>
      <w:r w:rsidR="000D3F91">
        <w:rPr>
          <w:rtl/>
        </w:rPr>
        <w:t>–</w:t>
      </w:r>
      <w:r w:rsidR="000D3F91">
        <w:rPr>
          <w:rFonts w:hint="cs"/>
          <w:rtl/>
        </w:rPr>
        <w:t xml:space="preserve"> </w:t>
      </w:r>
      <w:r w:rsidR="000D3F91">
        <w:rPr>
          <w:rFonts w:hint="cs"/>
          <w:b/>
          <w:bCs/>
          <w:rtl/>
        </w:rPr>
        <w:t>החלטת הממשלה</w:t>
      </w:r>
      <w:r w:rsidR="000D3F91">
        <w:rPr>
          <w:rFonts w:hint="cs"/>
          <w:rtl/>
        </w:rPr>
        <w:t>)</w:t>
      </w:r>
      <w:r w:rsidR="00276741">
        <w:rPr>
          <w:rFonts w:hint="cs"/>
          <w:rtl/>
        </w:rPr>
        <w:t xml:space="preserve">, </w:t>
      </w:r>
      <w:r w:rsidR="00276741">
        <w:rPr>
          <w:rtl/>
        </w:rPr>
        <w:t xml:space="preserve">להקים מנהלת ייעודית, שתישא באחריות ובכלל הסמכויות הנדרשות לצורך ניהול וביצוע פעולות לשיקום ולחיזוק חבל 'התקומה' ואוכלוסייתו באופן מהיר, בטוח ומיטבי בטווח המיידי, הבינוני והארוך (להלן – המנהלת). </w:t>
      </w:r>
    </w:p>
    <w:p w:rsidR="00276741" w:rsidRDefault="00276741" w:rsidP="000D3F91">
      <w:pPr>
        <w:spacing w:before="240"/>
        <w:rPr>
          <w:rtl/>
        </w:rPr>
      </w:pPr>
      <w:r w:rsidRPr="00276741">
        <w:rPr>
          <w:rtl/>
        </w:rPr>
        <w:t>על מנת לאפשר את תחילת עבודתה של המנהלת באופן מלא ומיידי, כמפורט בהחלט</w:t>
      </w:r>
      <w:r>
        <w:rPr>
          <w:rFonts w:hint="cs"/>
          <w:rtl/>
        </w:rPr>
        <w:t>ת הממשלה</w:t>
      </w:r>
      <w:r w:rsidRPr="00276741">
        <w:rPr>
          <w:rtl/>
        </w:rPr>
        <w:t xml:space="preserve">, </w:t>
      </w:r>
      <w:r>
        <w:rPr>
          <w:rFonts w:hint="cs"/>
          <w:rtl/>
        </w:rPr>
        <w:t xml:space="preserve">הונחו </w:t>
      </w:r>
      <w:r w:rsidRPr="00276741">
        <w:rPr>
          <w:rtl/>
        </w:rPr>
        <w:t>נציב שירות המדינה, החשב הכללי במשרד האוצר, הממונה על התקציבים במשרד האוצר, הממונה על השכר במשרד האוצר והיועצת המשפטית לממשלה לפעול באופן מיידי על מנת להסדיר עבור המנהלת את כל הכלים הנדרשים לצורך פעולתה ובכלל זה: הקצאת תקציב למנהלת בתוכנית תקציב נפרדת וייעודית לפעילות המנהלת, הרשאות חתימה מתאימות לפי חוק נכסי המדינה, התשי"א-1951, מנגנוני התקשרות מהירים והכול בכפוף לדיני מכרזים,</w:t>
      </w:r>
      <w:r w:rsidR="003F0F81" w:rsidRPr="003F0F81">
        <w:rPr>
          <w:rFonts w:ascii="Arial" w:hAnsi="Arial" w:cs="Arial"/>
          <w:color w:val="272727"/>
          <w:shd w:val="clear" w:color="auto" w:fill="FFFFFF"/>
          <w:rtl/>
        </w:rPr>
        <w:t xml:space="preserve"> </w:t>
      </w:r>
      <w:r w:rsidR="003F0F81" w:rsidRPr="003F0F81">
        <w:rPr>
          <w:rtl/>
        </w:rPr>
        <w:t>הקצאת תקנים למנהלת, קביעת השכר של עובדי המנהלת ורכזי 'תקומה', מבנה ארגוני ומנגנוני גיוס מהירים והכול בהתאם לחוק שירות המדינה (מינויים), התשי"ט-1959</w:t>
      </w:r>
      <w:r w:rsidR="003F0F81">
        <w:rPr>
          <w:rFonts w:hint="cs"/>
          <w:rtl/>
        </w:rPr>
        <w:t xml:space="preserve">. </w:t>
      </w:r>
    </w:p>
    <w:p w:rsidR="003F0F81" w:rsidRPr="003F0F81" w:rsidRDefault="003F0F81" w:rsidP="003F0F81">
      <w:pPr>
        <w:rPr>
          <w:rFonts w:asciiTheme="minorHAnsi" w:hAnsiTheme="minorHAnsi"/>
          <w:rtl/>
        </w:rPr>
      </w:pPr>
      <w:r>
        <w:rPr>
          <w:rFonts w:hint="cs"/>
          <w:rtl/>
        </w:rPr>
        <w:t>בהתאם להנחיית הממשלה ועל מנת לייעל את הליך ביצוע ההתקשרויות שמבצעת המנהלת לצורך הגשמת מטרותיה, כפי שהוגדרו בהחלטת הממשלה, תוך שמירה על עקרונות השוויון, היעילות הכלכלית והשקיפות, מוצע לתקן</w:t>
      </w:r>
      <w:r w:rsidR="005D3610">
        <w:rPr>
          <w:rFonts w:hint="cs"/>
          <w:rtl/>
        </w:rPr>
        <w:t>,</w:t>
      </w:r>
      <w:r>
        <w:rPr>
          <w:rFonts w:hint="cs"/>
          <w:rtl/>
        </w:rPr>
        <w:t xml:space="preserve"> בהוראת שעה</w:t>
      </w:r>
      <w:r w:rsidR="000D3F91">
        <w:rPr>
          <w:rFonts w:hint="cs"/>
          <w:rtl/>
        </w:rPr>
        <w:t xml:space="preserve"> לשנה</w:t>
      </w:r>
      <w:r>
        <w:rPr>
          <w:rFonts w:hint="cs"/>
          <w:rtl/>
        </w:rPr>
        <w:t>, את תקנות חובת המכרזים, התשנ"ג-1993</w:t>
      </w:r>
      <w:r>
        <w:rPr>
          <w:rFonts w:asciiTheme="minorHAnsi" w:hAnsiTheme="minorHAnsi" w:hint="cs"/>
          <w:rtl/>
        </w:rPr>
        <w:t xml:space="preserve">. </w:t>
      </w:r>
    </w:p>
    <w:p w:rsidR="008C75D9" w:rsidRDefault="008C75D9" w:rsidP="005F7BCA">
      <w:pPr>
        <w:rPr>
          <w:rtl/>
        </w:rPr>
      </w:pPr>
    </w:p>
    <w:p w:rsidR="008C75D9" w:rsidRDefault="008C75D9" w:rsidP="005F7BCA">
      <w:pPr>
        <w:rPr>
          <w:rtl/>
        </w:rPr>
      </w:pPr>
    </w:p>
    <w:p w:rsidR="008C75D9" w:rsidRDefault="008C75D9" w:rsidP="008C75D9">
      <w:pPr>
        <w:pStyle w:val="4"/>
      </w:pPr>
      <w:bookmarkStart w:id="4" w:name="_Toc150339047"/>
      <w:r>
        <w:rPr>
          <w:rFonts w:hint="cs"/>
          <w:rtl/>
        </w:rPr>
        <w:t>להלן נוסח טיוטת התקנות המוצעות:</w:t>
      </w:r>
      <w:bookmarkEnd w:id="4"/>
      <w:r>
        <w:rPr>
          <w:rFonts w:hint="cs"/>
          <w:rtl/>
        </w:rPr>
        <w:t xml:space="preserve"> </w:t>
      </w:r>
    </w:p>
    <w:p w:rsidR="008C75D9" w:rsidRDefault="008C75D9" w:rsidP="005F7BCA">
      <w:pPr>
        <w:bidi w:val="0"/>
        <w:rPr>
          <w:rtl/>
        </w:rPr>
      </w:pPr>
      <w:r>
        <w:rPr>
          <w:rtl/>
        </w:rPr>
        <w:br w:type="page"/>
      </w:r>
    </w:p>
    <w:p w:rsidR="008C75D9" w:rsidRDefault="008C75D9" w:rsidP="002F6F50">
      <w:pPr>
        <w:pStyle w:val="HeadMitparsemetBaze"/>
        <w:keepNext w:val="0"/>
        <w:keepLines w:val="0"/>
        <w:pageBreakBefore w:val="0"/>
        <w:rPr>
          <w:rtl/>
        </w:rPr>
      </w:pPr>
      <w:r>
        <w:rPr>
          <w:rtl/>
        </w:rPr>
        <w:t>טיוטת תקנות מטעם משרד</w:t>
      </w:r>
      <w:r w:rsidR="002F6F50">
        <w:rPr>
          <w:rFonts w:hint="cs"/>
          <w:rtl/>
        </w:rPr>
        <w:t xml:space="preserve"> האוצר:</w:t>
      </w:r>
    </w:p>
    <w:p w:rsidR="008C75D9" w:rsidRDefault="008C75D9" w:rsidP="00713624">
      <w:pPr>
        <w:pStyle w:val="HeadHatzaotHok"/>
        <w:keepNext w:val="0"/>
        <w:keepLines w:val="0"/>
        <w:rPr>
          <w:rtl/>
        </w:rPr>
      </w:pPr>
      <w:bookmarkStart w:id="5" w:name="_Toc150339034"/>
      <w:bookmarkStart w:id="6" w:name="_Toc150339048"/>
      <w:r>
        <w:rPr>
          <w:rtl/>
        </w:rPr>
        <w:t xml:space="preserve">טיוטת תקנות </w:t>
      </w:r>
      <w:r w:rsidR="0056743E">
        <w:rPr>
          <w:rFonts w:hint="cs"/>
          <w:rtl/>
        </w:rPr>
        <w:t>חובת המכרזים</w:t>
      </w:r>
      <w:r w:rsidR="0056743E">
        <w:rPr>
          <w:rtl/>
        </w:rPr>
        <w:t xml:space="preserve"> </w:t>
      </w:r>
      <w:r w:rsidR="00E933EE">
        <w:rPr>
          <w:rFonts w:hint="cs"/>
          <w:rtl/>
        </w:rPr>
        <w:t>(התקשרויות מנהלת תקומה)</w:t>
      </w:r>
      <w:r>
        <w:rPr>
          <w:rtl/>
        </w:rPr>
        <w:t>(</w:t>
      </w:r>
      <w:r w:rsidR="00713624">
        <w:rPr>
          <w:rFonts w:hint="cs"/>
          <w:rtl/>
        </w:rPr>
        <w:t xml:space="preserve">הוראת שעה </w:t>
      </w:r>
      <w:r w:rsidR="00713624">
        <w:rPr>
          <w:rtl/>
        </w:rPr>
        <w:t>–</w:t>
      </w:r>
      <w:r w:rsidR="00713624">
        <w:rPr>
          <w:rFonts w:hint="cs"/>
          <w:rtl/>
        </w:rPr>
        <w:t xml:space="preserve"> חרבות ברזל</w:t>
      </w:r>
      <w:r>
        <w:rPr>
          <w:rtl/>
        </w:rPr>
        <w:t>)</w:t>
      </w:r>
      <w:r w:rsidR="00713624">
        <w:rPr>
          <w:rFonts w:hint="cs"/>
          <w:rtl/>
        </w:rPr>
        <w:t>, התשפ"ד-2023</w:t>
      </w:r>
      <w:bookmarkEnd w:id="5"/>
      <w:bookmarkEnd w:id="6"/>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8C75D9" w:rsidTr="00C845A1">
        <w:trPr>
          <w:cantSplit/>
        </w:trPr>
        <w:tc>
          <w:tcPr>
            <w:tcW w:w="1869" w:type="dxa"/>
          </w:tcPr>
          <w:p w:rsidR="008C75D9" w:rsidRDefault="008C75D9">
            <w:pPr>
              <w:pStyle w:val="TableSideHeading"/>
              <w:rPr>
                <w:rtl/>
              </w:rPr>
            </w:pPr>
          </w:p>
        </w:tc>
        <w:tc>
          <w:tcPr>
            <w:tcW w:w="624" w:type="dxa"/>
          </w:tcPr>
          <w:p w:rsidR="008C75D9" w:rsidRDefault="008C75D9">
            <w:pPr>
              <w:pStyle w:val="TableText"/>
            </w:pPr>
          </w:p>
        </w:tc>
        <w:tc>
          <w:tcPr>
            <w:tcW w:w="7145" w:type="dxa"/>
            <w:gridSpan w:val="6"/>
            <w:hideMark/>
          </w:tcPr>
          <w:p w:rsidR="008C75D9" w:rsidRDefault="008C75D9" w:rsidP="00EF34EB">
            <w:pPr>
              <w:pStyle w:val="TableBlock"/>
            </w:pPr>
            <w:r>
              <w:rPr>
                <w:rtl/>
              </w:rPr>
              <w:t>בתוקף סמכותי לפי סעיפים</w:t>
            </w:r>
            <w:r w:rsidR="0056743E">
              <w:rPr>
                <w:rFonts w:hint="cs"/>
                <w:rtl/>
              </w:rPr>
              <w:t xml:space="preserve"> 4 ו-7</w:t>
            </w:r>
            <w:r>
              <w:rPr>
                <w:rtl/>
              </w:rPr>
              <w:t xml:space="preserve"> לחוק </w:t>
            </w:r>
            <w:r w:rsidR="0056743E">
              <w:rPr>
                <w:rFonts w:hint="cs"/>
                <w:rtl/>
              </w:rPr>
              <w:t>חובת המכרזים</w:t>
            </w:r>
            <w:r>
              <w:rPr>
                <w:rtl/>
              </w:rPr>
              <w:t>,</w:t>
            </w:r>
            <w:r w:rsidR="0056743E">
              <w:rPr>
                <w:rFonts w:hint="cs"/>
                <w:rtl/>
              </w:rPr>
              <w:t xml:space="preserve"> </w:t>
            </w:r>
            <w:r w:rsidR="00D225B2">
              <w:rPr>
                <w:rFonts w:hint="cs"/>
                <w:rtl/>
              </w:rPr>
              <w:t>ה</w:t>
            </w:r>
            <w:r w:rsidR="0056743E">
              <w:rPr>
                <w:rFonts w:hint="cs"/>
                <w:rtl/>
              </w:rPr>
              <w:t>תשנ"ב-1992</w:t>
            </w:r>
            <w:r>
              <w:rPr>
                <w:rtl/>
              </w:rPr>
              <w:t xml:space="preserve"> ובאישור</w:t>
            </w:r>
            <w:r w:rsidR="0056743E">
              <w:rPr>
                <w:rFonts w:hint="cs"/>
                <w:rtl/>
              </w:rPr>
              <w:t xml:space="preserve"> ועדת החוקה חוק ומשפט של הכנסת</w:t>
            </w:r>
            <w:r>
              <w:rPr>
                <w:rtl/>
              </w:rPr>
              <w:t>, אני מתקין תקנות אלה:</w:t>
            </w:r>
          </w:p>
        </w:tc>
      </w:tr>
      <w:tr w:rsidR="006204B0" w:rsidTr="00C845A1">
        <w:trPr>
          <w:cantSplit/>
        </w:trPr>
        <w:tc>
          <w:tcPr>
            <w:tcW w:w="1869" w:type="dxa"/>
          </w:tcPr>
          <w:p w:rsidR="006204B0" w:rsidRDefault="006204B0" w:rsidP="006204B0">
            <w:pPr>
              <w:pStyle w:val="TableSideHeading"/>
              <w:keepLines w:val="0"/>
            </w:pPr>
            <w:r>
              <w:rPr>
                <w:rFonts w:hint="cs"/>
                <w:rtl/>
              </w:rPr>
              <w:t>הגדרות</w:t>
            </w:r>
          </w:p>
        </w:tc>
        <w:tc>
          <w:tcPr>
            <w:tcW w:w="624" w:type="dxa"/>
          </w:tcPr>
          <w:p w:rsidR="006204B0" w:rsidRDefault="006204B0" w:rsidP="006204B0">
            <w:pPr>
              <w:pStyle w:val="TableText"/>
              <w:keepLines w:val="0"/>
              <w:numPr>
                <w:ilvl w:val="0"/>
                <w:numId w:val="11"/>
              </w:numPr>
            </w:pPr>
          </w:p>
        </w:tc>
        <w:tc>
          <w:tcPr>
            <w:tcW w:w="7145" w:type="dxa"/>
            <w:gridSpan w:val="6"/>
          </w:tcPr>
          <w:p w:rsidR="006204B0" w:rsidRPr="00C34DE2" w:rsidRDefault="006204B0" w:rsidP="00C845A1">
            <w:pPr>
              <w:pStyle w:val="TableBlock"/>
            </w:pPr>
            <w:r w:rsidRPr="007F26D3">
              <w:rPr>
                <w:rFonts w:hint="cs"/>
                <w:rtl/>
              </w:rPr>
              <w:t xml:space="preserve">בתקופה </w:t>
            </w:r>
            <w:r w:rsidRPr="00981C44">
              <w:rPr>
                <w:rFonts w:hint="cs"/>
                <w:rtl/>
              </w:rPr>
              <w:t>שמיום פרסום תקנות</w:t>
            </w:r>
            <w:r w:rsidRPr="007F26D3">
              <w:rPr>
                <w:rFonts w:hint="cs"/>
                <w:rtl/>
              </w:rPr>
              <w:t xml:space="preserve"> אלו ועד </w:t>
            </w:r>
            <w:r w:rsidRPr="00981C44">
              <w:rPr>
                <w:rFonts w:hint="cs"/>
                <w:rtl/>
              </w:rPr>
              <w:t>ליום</w:t>
            </w:r>
            <w:r>
              <w:rPr>
                <w:rFonts w:hint="cs"/>
                <w:rtl/>
              </w:rPr>
              <w:t xml:space="preserve"> ל' בכסלו התשפ"ה</w:t>
            </w:r>
            <w:r w:rsidRPr="00981C44">
              <w:rPr>
                <w:rFonts w:hint="cs"/>
                <w:rtl/>
              </w:rPr>
              <w:t xml:space="preserve"> </w:t>
            </w:r>
            <w:r>
              <w:rPr>
                <w:rFonts w:hint="cs"/>
                <w:rtl/>
              </w:rPr>
              <w:t>(</w:t>
            </w:r>
            <w:r w:rsidRPr="00981C44">
              <w:rPr>
                <w:rFonts w:hint="cs"/>
                <w:rtl/>
              </w:rPr>
              <w:t>31 בדצמבר 2024</w:t>
            </w:r>
            <w:r>
              <w:rPr>
                <w:rFonts w:hint="cs"/>
                <w:rtl/>
              </w:rPr>
              <w:t xml:space="preserve">), </w:t>
            </w:r>
            <w:r w:rsidRPr="00D96960">
              <w:rPr>
                <w:rtl/>
              </w:rPr>
              <w:t xml:space="preserve">יראו כאילו בתקנות חובת המכרזים, התשנ"ג-1992 </w:t>
            </w:r>
            <w:r>
              <w:rPr>
                <w:rFonts w:hint="cs"/>
                <w:rtl/>
              </w:rPr>
              <w:t xml:space="preserve">(להלן </w:t>
            </w:r>
            <w:r>
              <w:rPr>
                <w:rtl/>
              </w:rPr>
              <w:t>–</w:t>
            </w:r>
            <w:r>
              <w:rPr>
                <w:rFonts w:hint="cs"/>
                <w:rtl/>
              </w:rPr>
              <w:t xml:space="preserve"> התקנות העיקריות) בתקנה 1 אחרי ההגדרה "מכרז פומבי רגיל" בא "מנהלת תקומה" </w:t>
            </w:r>
            <w:r>
              <w:rPr>
                <w:rtl/>
              </w:rPr>
              <w:t>–</w:t>
            </w:r>
            <w:r>
              <w:rPr>
                <w:rFonts w:hint="cs"/>
                <w:rtl/>
              </w:rPr>
              <w:t xml:space="preserve"> המנהלת שהוקמה מכוח החלטת ממשלה 980 מיום ד' בחשוון התשפ"ד (19 באוקטובר 2023);".</w:t>
            </w:r>
          </w:p>
        </w:tc>
      </w:tr>
      <w:tr w:rsidR="00EF34EB" w:rsidTr="00872CDB">
        <w:trPr>
          <w:cantSplit/>
        </w:trPr>
        <w:tc>
          <w:tcPr>
            <w:tcW w:w="1869" w:type="dxa"/>
          </w:tcPr>
          <w:p w:rsidR="00EF34EB" w:rsidRDefault="00EF34EB" w:rsidP="00EF34EB">
            <w:pPr>
              <w:pStyle w:val="TableSideHeading"/>
              <w:keepLines w:val="0"/>
              <w:rPr>
                <w:rtl/>
              </w:rPr>
            </w:pPr>
            <w:r>
              <w:rPr>
                <w:rFonts w:hint="cs"/>
                <w:rtl/>
              </w:rPr>
              <w:t>הוראות לעניין התקשרויות מנהלת תקומה</w:t>
            </w:r>
          </w:p>
        </w:tc>
        <w:tc>
          <w:tcPr>
            <w:tcW w:w="624" w:type="dxa"/>
          </w:tcPr>
          <w:p w:rsidR="00EF34EB" w:rsidRDefault="00EF34EB" w:rsidP="00EF34EB">
            <w:pPr>
              <w:pStyle w:val="TableText"/>
              <w:keepLines w:val="0"/>
              <w:numPr>
                <w:ilvl w:val="0"/>
                <w:numId w:val="11"/>
              </w:numPr>
            </w:pPr>
          </w:p>
        </w:tc>
        <w:tc>
          <w:tcPr>
            <w:tcW w:w="7145" w:type="dxa"/>
            <w:gridSpan w:val="6"/>
          </w:tcPr>
          <w:p w:rsidR="00EF34EB" w:rsidRPr="007F26D3" w:rsidRDefault="00EF34EB" w:rsidP="005E25F0">
            <w:pPr>
              <w:pStyle w:val="TableBlock"/>
              <w:rPr>
                <w:rtl/>
              </w:rPr>
            </w:pPr>
            <w:r w:rsidRPr="00D96960">
              <w:rPr>
                <w:rFonts w:hint="eastAsia"/>
                <w:rtl/>
              </w:rPr>
              <w:t>לעניין</w:t>
            </w:r>
            <w:r w:rsidRPr="00D96960">
              <w:rPr>
                <w:rtl/>
              </w:rPr>
              <w:t xml:space="preserve"> </w:t>
            </w:r>
            <w:r w:rsidRPr="00D96960">
              <w:rPr>
                <w:rFonts w:hint="eastAsia"/>
                <w:rtl/>
              </w:rPr>
              <w:t>התקשרות</w:t>
            </w:r>
            <w:r w:rsidRPr="00D96960">
              <w:rPr>
                <w:rtl/>
              </w:rPr>
              <w:t xml:space="preserve"> </w:t>
            </w:r>
            <w:r w:rsidRPr="00D96960">
              <w:rPr>
                <w:rFonts w:hint="eastAsia"/>
                <w:rtl/>
              </w:rPr>
              <w:t>של</w:t>
            </w:r>
            <w:r w:rsidRPr="00D96960">
              <w:rPr>
                <w:rtl/>
              </w:rPr>
              <w:t xml:space="preserve"> </w:t>
            </w:r>
            <w:r w:rsidRPr="00D96960">
              <w:rPr>
                <w:rFonts w:hint="eastAsia"/>
                <w:rtl/>
              </w:rPr>
              <w:t>מנהלת</w:t>
            </w:r>
            <w:r w:rsidRPr="00D96960">
              <w:rPr>
                <w:rtl/>
              </w:rPr>
              <w:t xml:space="preserve"> </w:t>
            </w:r>
            <w:r w:rsidRPr="00D96960">
              <w:rPr>
                <w:rFonts w:hint="eastAsia"/>
                <w:rtl/>
              </w:rPr>
              <w:t>תקומה</w:t>
            </w:r>
            <w:r w:rsidRPr="00D96960">
              <w:rPr>
                <w:rtl/>
              </w:rPr>
              <w:t xml:space="preserve">, </w:t>
            </w:r>
            <w:r w:rsidRPr="00D96960">
              <w:rPr>
                <w:rFonts w:hint="eastAsia"/>
                <w:rtl/>
              </w:rPr>
              <w:t>כהגדרתה</w:t>
            </w:r>
            <w:r w:rsidRPr="00D96960">
              <w:rPr>
                <w:rtl/>
              </w:rPr>
              <w:t xml:space="preserve"> </w:t>
            </w:r>
            <w:r w:rsidRPr="00D96960">
              <w:rPr>
                <w:rFonts w:hint="eastAsia"/>
                <w:rtl/>
              </w:rPr>
              <w:t>ב</w:t>
            </w:r>
            <w:r>
              <w:rPr>
                <w:rFonts w:hint="cs"/>
                <w:rtl/>
              </w:rPr>
              <w:t xml:space="preserve">תקנה </w:t>
            </w:r>
            <w:r w:rsidRPr="00D96960">
              <w:rPr>
                <w:rtl/>
              </w:rPr>
              <w:t xml:space="preserve">(1) </w:t>
            </w:r>
            <w:r>
              <w:rPr>
                <w:rFonts w:hint="cs"/>
                <w:rtl/>
              </w:rPr>
              <w:t>לעיל</w:t>
            </w:r>
            <w:r w:rsidRPr="007F26D3">
              <w:rPr>
                <w:rtl/>
              </w:rPr>
              <w:t xml:space="preserve">, </w:t>
            </w:r>
            <w:r w:rsidRPr="007F26D3">
              <w:rPr>
                <w:rFonts w:hint="cs"/>
                <w:rtl/>
              </w:rPr>
              <w:t xml:space="preserve">בתקופה </w:t>
            </w:r>
            <w:r w:rsidRPr="00B8743E">
              <w:rPr>
                <w:rFonts w:hint="eastAsia"/>
                <w:rtl/>
              </w:rPr>
              <w:t>שמיום</w:t>
            </w:r>
            <w:r w:rsidRPr="00B8743E">
              <w:rPr>
                <w:rtl/>
              </w:rPr>
              <w:t xml:space="preserve"> </w:t>
            </w:r>
            <w:r w:rsidRPr="00B8743E">
              <w:rPr>
                <w:rFonts w:hint="eastAsia"/>
                <w:rtl/>
              </w:rPr>
              <w:t>פרסום</w:t>
            </w:r>
            <w:r w:rsidRPr="00B8743E">
              <w:rPr>
                <w:rtl/>
              </w:rPr>
              <w:t xml:space="preserve"> </w:t>
            </w:r>
            <w:r w:rsidRPr="00B8743E">
              <w:rPr>
                <w:rFonts w:hint="eastAsia"/>
                <w:rtl/>
              </w:rPr>
              <w:t>תקנות</w:t>
            </w:r>
            <w:r w:rsidRPr="007F26D3">
              <w:rPr>
                <w:rFonts w:hint="cs"/>
                <w:rtl/>
              </w:rPr>
              <w:t xml:space="preserve"> אלו ועד </w:t>
            </w:r>
            <w:r w:rsidRPr="00B8743E">
              <w:rPr>
                <w:rFonts w:hint="eastAsia"/>
                <w:rtl/>
              </w:rPr>
              <w:t>ליום</w:t>
            </w:r>
            <w:r>
              <w:rPr>
                <w:rFonts w:hint="cs"/>
                <w:rtl/>
              </w:rPr>
              <w:t xml:space="preserve"> ל' בכסלו התשפ"ה</w:t>
            </w:r>
            <w:r w:rsidRPr="00B8743E">
              <w:rPr>
                <w:rtl/>
              </w:rPr>
              <w:t xml:space="preserve"> </w:t>
            </w:r>
            <w:r>
              <w:rPr>
                <w:rFonts w:hint="cs"/>
                <w:rtl/>
              </w:rPr>
              <w:t>(</w:t>
            </w:r>
            <w:r w:rsidRPr="00B8743E">
              <w:rPr>
                <w:rtl/>
              </w:rPr>
              <w:t xml:space="preserve">31 </w:t>
            </w:r>
            <w:r w:rsidRPr="00B8743E">
              <w:rPr>
                <w:rFonts w:hint="eastAsia"/>
                <w:rtl/>
              </w:rPr>
              <w:t>בדצמבר</w:t>
            </w:r>
            <w:r w:rsidRPr="00B8743E">
              <w:rPr>
                <w:rtl/>
              </w:rPr>
              <w:t xml:space="preserve"> 2024</w:t>
            </w:r>
            <w:r>
              <w:rPr>
                <w:rFonts w:hint="cs"/>
                <w:rtl/>
              </w:rPr>
              <w:t xml:space="preserve">), </w:t>
            </w:r>
            <w:r w:rsidRPr="00D96960">
              <w:rPr>
                <w:rtl/>
              </w:rPr>
              <w:t xml:space="preserve">יראו כאילו בתקנות </w:t>
            </w:r>
            <w:r>
              <w:rPr>
                <w:rFonts w:hint="cs"/>
                <w:rtl/>
              </w:rPr>
              <w:t xml:space="preserve">העיקריות </w:t>
            </w:r>
            <w:r w:rsidRPr="00D96960">
              <w:rPr>
                <w:rtl/>
              </w:rPr>
              <w:t xml:space="preserve">- </w:t>
            </w:r>
          </w:p>
        </w:tc>
      </w:tr>
      <w:tr w:rsidR="00EF34EB" w:rsidTr="00872CDB">
        <w:trPr>
          <w:cantSplit/>
          <w:trHeight w:val="60"/>
        </w:trPr>
        <w:tc>
          <w:tcPr>
            <w:tcW w:w="1869" w:type="dxa"/>
          </w:tcPr>
          <w:p w:rsidR="00EF34EB" w:rsidRDefault="00EF34EB">
            <w:pPr>
              <w:pStyle w:val="TableSideHeading"/>
            </w:pPr>
          </w:p>
        </w:tc>
        <w:tc>
          <w:tcPr>
            <w:tcW w:w="624" w:type="dxa"/>
          </w:tcPr>
          <w:p w:rsidR="00EF34EB" w:rsidRDefault="00EF34EB">
            <w:pPr>
              <w:pStyle w:val="TableText"/>
            </w:pPr>
          </w:p>
        </w:tc>
        <w:tc>
          <w:tcPr>
            <w:tcW w:w="624" w:type="dxa"/>
          </w:tcPr>
          <w:p w:rsidR="00EF34EB" w:rsidRDefault="00EF34EB">
            <w:pPr>
              <w:pStyle w:val="TableText"/>
            </w:pPr>
          </w:p>
        </w:tc>
        <w:tc>
          <w:tcPr>
            <w:tcW w:w="6521" w:type="dxa"/>
            <w:gridSpan w:val="5"/>
          </w:tcPr>
          <w:p w:rsidR="00EF34EB" w:rsidRDefault="00EF34EB" w:rsidP="00C845A1">
            <w:pPr>
              <w:pStyle w:val="TableBlock"/>
              <w:numPr>
                <w:ilvl w:val="0"/>
                <w:numId w:val="55"/>
              </w:numPr>
              <w:tabs>
                <w:tab w:val="left" w:pos="624"/>
              </w:tabs>
            </w:pPr>
            <w:r>
              <w:rPr>
                <w:rFonts w:hint="cs"/>
                <w:rtl/>
              </w:rPr>
              <w:t xml:space="preserve">בתקנה 3 - </w:t>
            </w:r>
          </w:p>
        </w:tc>
      </w:tr>
      <w:tr w:rsidR="00EF34EB" w:rsidTr="00872CDB">
        <w:trPr>
          <w:cantSplit/>
          <w:trHeight w:val="60"/>
        </w:trPr>
        <w:tc>
          <w:tcPr>
            <w:tcW w:w="1869" w:type="dxa"/>
          </w:tcPr>
          <w:p w:rsidR="00EF34EB" w:rsidRDefault="00EF34EB">
            <w:pPr>
              <w:pStyle w:val="TableSideHeading"/>
            </w:pPr>
          </w:p>
        </w:tc>
        <w:tc>
          <w:tcPr>
            <w:tcW w:w="624" w:type="dxa"/>
          </w:tcPr>
          <w:p w:rsidR="00EF34EB" w:rsidRDefault="00EF34EB">
            <w:pPr>
              <w:pStyle w:val="TableText"/>
            </w:pPr>
          </w:p>
        </w:tc>
        <w:tc>
          <w:tcPr>
            <w:tcW w:w="624" w:type="dxa"/>
          </w:tcPr>
          <w:p w:rsidR="00EF34EB" w:rsidRDefault="00EF34EB">
            <w:pPr>
              <w:pStyle w:val="TableText"/>
            </w:pPr>
          </w:p>
        </w:tc>
        <w:tc>
          <w:tcPr>
            <w:tcW w:w="624" w:type="dxa"/>
          </w:tcPr>
          <w:p w:rsidR="00EF34EB" w:rsidRDefault="00EF34EB">
            <w:pPr>
              <w:pStyle w:val="TableText"/>
            </w:pPr>
          </w:p>
        </w:tc>
        <w:tc>
          <w:tcPr>
            <w:tcW w:w="5897" w:type="dxa"/>
            <w:gridSpan w:val="4"/>
          </w:tcPr>
          <w:p w:rsidR="00EF34EB" w:rsidRDefault="00EF34EB" w:rsidP="00C845A1">
            <w:pPr>
              <w:pStyle w:val="TableBlock"/>
              <w:numPr>
                <w:ilvl w:val="0"/>
                <w:numId w:val="56"/>
              </w:numPr>
              <w:tabs>
                <w:tab w:val="left" w:pos="624"/>
              </w:tabs>
            </w:pPr>
            <w:r>
              <w:rPr>
                <w:rFonts w:hint="cs"/>
                <w:rtl/>
              </w:rPr>
              <w:t>בפסקה (1), במקום "50,000" בא "100,000", אחרי "לפי פסקה זו" בא "ולפי פסקה (1א)" ובמקום 100,000" בא "400,000";</w:t>
            </w:r>
          </w:p>
        </w:tc>
      </w:tr>
      <w:tr w:rsidR="00EF34EB" w:rsidTr="00872CDB">
        <w:trPr>
          <w:cantSplit/>
          <w:trHeight w:val="60"/>
        </w:trPr>
        <w:tc>
          <w:tcPr>
            <w:tcW w:w="1869" w:type="dxa"/>
          </w:tcPr>
          <w:p w:rsidR="00EF34EB" w:rsidRDefault="00EF34EB">
            <w:pPr>
              <w:pStyle w:val="TableSideHeading"/>
            </w:pPr>
          </w:p>
        </w:tc>
        <w:tc>
          <w:tcPr>
            <w:tcW w:w="624" w:type="dxa"/>
          </w:tcPr>
          <w:p w:rsidR="00EF34EB" w:rsidRDefault="00EF34EB" w:rsidP="005E25F0">
            <w:pPr>
              <w:pStyle w:val="TableText"/>
            </w:pPr>
          </w:p>
        </w:tc>
        <w:tc>
          <w:tcPr>
            <w:tcW w:w="624" w:type="dxa"/>
          </w:tcPr>
          <w:p w:rsidR="00EF34EB" w:rsidRDefault="00EF34EB">
            <w:pPr>
              <w:pStyle w:val="TableText"/>
            </w:pPr>
          </w:p>
        </w:tc>
        <w:tc>
          <w:tcPr>
            <w:tcW w:w="624" w:type="dxa"/>
          </w:tcPr>
          <w:p w:rsidR="00EF34EB" w:rsidRDefault="00EF34EB">
            <w:pPr>
              <w:pStyle w:val="TableText"/>
            </w:pPr>
          </w:p>
        </w:tc>
        <w:tc>
          <w:tcPr>
            <w:tcW w:w="5897" w:type="dxa"/>
            <w:gridSpan w:val="4"/>
          </w:tcPr>
          <w:p w:rsidR="00EF34EB" w:rsidRDefault="00872CDB" w:rsidP="00EF34EB">
            <w:pPr>
              <w:pStyle w:val="TableBlock"/>
              <w:numPr>
                <w:ilvl w:val="0"/>
                <w:numId w:val="56"/>
              </w:numPr>
              <w:tabs>
                <w:tab w:val="left" w:pos="624"/>
              </w:tabs>
              <w:rPr>
                <w:rtl/>
              </w:rPr>
            </w:pPr>
            <w:r>
              <w:rPr>
                <w:rFonts w:hint="cs"/>
                <w:rtl/>
              </w:rPr>
              <w:t>אחרי פסקה (1) בא:</w:t>
            </w:r>
          </w:p>
        </w:tc>
      </w:tr>
      <w:tr w:rsidR="00872CDB" w:rsidTr="00872CDB">
        <w:trPr>
          <w:cantSplit/>
          <w:trHeight w:val="60"/>
        </w:trPr>
        <w:tc>
          <w:tcPr>
            <w:tcW w:w="1869" w:type="dxa"/>
          </w:tcPr>
          <w:p w:rsidR="00872CDB" w:rsidRDefault="00872CDB">
            <w:pPr>
              <w:pStyle w:val="TableSideHeading"/>
            </w:pPr>
          </w:p>
        </w:tc>
        <w:tc>
          <w:tcPr>
            <w:tcW w:w="624" w:type="dxa"/>
          </w:tcPr>
          <w:p w:rsidR="00872CDB" w:rsidRDefault="00872CDB">
            <w:pPr>
              <w:pStyle w:val="TableText"/>
            </w:pPr>
          </w:p>
        </w:tc>
        <w:tc>
          <w:tcPr>
            <w:tcW w:w="624" w:type="dxa"/>
          </w:tcPr>
          <w:p w:rsidR="00872CDB" w:rsidRDefault="00872CDB">
            <w:pPr>
              <w:pStyle w:val="TableText"/>
            </w:pPr>
          </w:p>
        </w:tc>
        <w:tc>
          <w:tcPr>
            <w:tcW w:w="624" w:type="dxa"/>
          </w:tcPr>
          <w:p w:rsidR="00872CDB" w:rsidRDefault="00872CDB">
            <w:pPr>
              <w:pStyle w:val="TableText"/>
            </w:pPr>
          </w:p>
        </w:tc>
        <w:tc>
          <w:tcPr>
            <w:tcW w:w="624" w:type="dxa"/>
          </w:tcPr>
          <w:p w:rsidR="00872CDB" w:rsidRDefault="00872CDB">
            <w:pPr>
              <w:pStyle w:val="TableText"/>
            </w:pPr>
          </w:p>
        </w:tc>
        <w:tc>
          <w:tcPr>
            <w:tcW w:w="5273" w:type="dxa"/>
            <w:gridSpan w:val="3"/>
          </w:tcPr>
          <w:p w:rsidR="00872CDB" w:rsidRDefault="00872CDB">
            <w:pPr>
              <w:pStyle w:val="TableBlock"/>
            </w:pPr>
            <w:r>
              <w:rPr>
                <w:rFonts w:hint="cs"/>
                <w:rtl/>
              </w:rPr>
              <w:t>"(1א) התקשרות ששוויה אינו עולה על 200,000 שקלים חדשים, אם ועדת המכרזים אישרה זאת.";</w:t>
            </w:r>
          </w:p>
        </w:tc>
      </w:tr>
      <w:tr w:rsidR="00872CDB" w:rsidTr="00872CDB">
        <w:trPr>
          <w:cantSplit/>
          <w:trHeight w:val="60"/>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5897" w:type="dxa"/>
            <w:gridSpan w:val="4"/>
          </w:tcPr>
          <w:p w:rsidR="00872CDB" w:rsidRDefault="00872CDB" w:rsidP="00C845A1">
            <w:pPr>
              <w:pStyle w:val="TableBlock"/>
              <w:numPr>
                <w:ilvl w:val="0"/>
                <w:numId w:val="56"/>
              </w:numPr>
              <w:tabs>
                <w:tab w:val="left" w:pos="624"/>
              </w:tabs>
            </w:pPr>
            <w:r>
              <w:rPr>
                <w:rFonts w:hint="cs"/>
                <w:rtl/>
              </w:rPr>
              <w:t>בפסקה (4)(ב)(1)(ב), במקום "50,000" בא "150,000" ובמקום "150,000" בא "300,000";</w:t>
            </w:r>
          </w:p>
        </w:tc>
      </w:tr>
      <w:tr w:rsidR="00D933D9" w:rsidTr="00872CDB">
        <w:trPr>
          <w:cantSplit/>
          <w:trHeight w:val="60"/>
        </w:trPr>
        <w:tc>
          <w:tcPr>
            <w:tcW w:w="1869" w:type="dxa"/>
          </w:tcPr>
          <w:p w:rsidR="00D933D9" w:rsidRDefault="00D933D9" w:rsidP="00872CDB">
            <w:pPr>
              <w:pStyle w:val="TableSideHeading"/>
            </w:pPr>
          </w:p>
        </w:tc>
        <w:tc>
          <w:tcPr>
            <w:tcW w:w="624" w:type="dxa"/>
          </w:tcPr>
          <w:p w:rsidR="00D933D9" w:rsidRDefault="00D933D9" w:rsidP="005E25F0">
            <w:pPr>
              <w:pStyle w:val="TableText"/>
            </w:pPr>
          </w:p>
        </w:tc>
        <w:tc>
          <w:tcPr>
            <w:tcW w:w="624" w:type="dxa"/>
          </w:tcPr>
          <w:p w:rsidR="00D933D9" w:rsidRDefault="00D933D9" w:rsidP="00872CDB">
            <w:pPr>
              <w:pStyle w:val="TableText"/>
            </w:pPr>
          </w:p>
        </w:tc>
        <w:tc>
          <w:tcPr>
            <w:tcW w:w="624" w:type="dxa"/>
          </w:tcPr>
          <w:p w:rsidR="00D933D9" w:rsidRDefault="00D933D9" w:rsidP="00872CDB">
            <w:pPr>
              <w:pStyle w:val="TableText"/>
            </w:pPr>
          </w:p>
        </w:tc>
        <w:tc>
          <w:tcPr>
            <w:tcW w:w="5897" w:type="dxa"/>
            <w:gridSpan w:val="4"/>
          </w:tcPr>
          <w:p w:rsidR="00D933D9" w:rsidRDefault="00D933D9" w:rsidP="00872CDB">
            <w:pPr>
              <w:pStyle w:val="TableBlock"/>
              <w:numPr>
                <w:ilvl w:val="0"/>
                <w:numId w:val="56"/>
              </w:numPr>
              <w:tabs>
                <w:tab w:val="left" w:pos="624"/>
              </w:tabs>
              <w:rPr>
                <w:rtl/>
              </w:rPr>
            </w:pPr>
            <w:r>
              <w:rPr>
                <w:rFonts w:hint="cs"/>
                <w:rtl/>
              </w:rPr>
              <w:t>אחרי פסקה (34) בא:</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5273" w:type="dxa"/>
            <w:gridSpan w:val="3"/>
          </w:tcPr>
          <w:p w:rsidR="00872CDB" w:rsidRDefault="00872CDB" w:rsidP="00B73461">
            <w:pPr>
              <w:pStyle w:val="TableBlock"/>
            </w:pPr>
            <w:r>
              <w:rPr>
                <w:rFonts w:hint="cs"/>
                <w:rtl/>
              </w:rPr>
              <w:t xml:space="preserve">"(35) (א) בפסקה זו - </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649" w:type="dxa"/>
            <w:gridSpan w:val="2"/>
          </w:tcPr>
          <w:p w:rsidR="00872CDB" w:rsidRDefault="00872CDB" w:rsidP="00B73461">
            <w:pPr>
              <w:pStyle w:val="TableBlockOutdent"/>
            </w:pPr>
            <w:r>
              <w:rPr>
                <w:rFonts w:hint="cs"/>
                <w:rtl/>
              </w:rPr>
              <w:t>"</w:t>
            </w:r>
            <w:r w:rsidRPr="00005B63">
              <w:rPr>
                <w:rFonts w:hint="cs"/>
                <w:rtl/>
              </w:rPr>
              <w:t>התקשרות</w:t>
            </w:r>
            <w:r>
              <w:rPr>
                <w:rFonts w:hint="cs"/>
                <w:rtl/>
              </w:rPr>
              <w:t xml:space="preserve"> </w:t>
            </w:r>
            <w:r w:rsidRPr="00010CEE">
              <w:rPr>
                <w:rFonts w:hint="cs"/>
                <w:rtl/>
              </w:rPr>
              <w:t>המשרד</w:t>
            </w:r>
            <w:r>
              <w:rPr>
                <w:rFonts w:hint="cs"/>
                <w:rtl/>
              </w:rPr>
              <w:t>" - חוזה שערך משרד לביצוע עסקה בטובין או במקרקעין, או לביצוע עבודה או לרכישת שירותים.</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649" w:type="dxa"/>
            <w:gridSpan w:val="2"/>
          </w:tcPr>
          <w:p w:rsidR="00872CDB" w:rsidRPr="00005B63" w:rsidRDefault="00872CDB" w:rsidP="005E25F0">
            <w:pPr>
              <w:pStyle w:val="TableBlockOutdent"/>
            </w:pPr>
            <w:r>
              <w:rPr>
                <w:rtl/>
              </w:rPr>
              <w:t>"</w:t>
            </w:r>
            <w:r>
              <w:rPr>
                <w:rFonts w:hint="cs"/>
                <w:rtl/>
              </w:rPr>
              <w:t xml:space="preserve">משרד" </w:t>
            </w:r>
            <w:r>
              <w:rPr>
                <w:rtl/>
              </w:rPr>
              <w:t>–</w:t>
            </w:r>
            <w:r>
              <w:rPr>
                <w:rFonts w:hint="cs"/>
                <w:rtl/>
              </w:rPr>
              <w:t xml:space="preserve"> כל משרד ממשרדי הממשלה או יחידת סמך של משרד כאמור".</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5273" w:type="dxa"/>
            <w:gridSpan w:val="3"/>
          </w:tcPr>
          <w:p w:rsidR="00872CDB" w:rsidRPr="00096DE7" w:rsidRDefault="00872CDB" w:rsidP="005E25F0">
            <w:pPr>
              <w:pStyle w:val="a7"/>
              <w:keepLines/>
              <w:widowControl w:val="0"/>
              <w:numPr>
                <w:ilvl w:val="0"/>
                <w:numId w:val="36"/>
              </w:numPr>
              <w:tabs>
                <w:tab w:val="left" w:pos="624"/>
                <w:tab w:val="left" w:pos="1247"/>
              </w:tabs>
              <w:snapToGrid w:val="0"/>
              <w:spacing w:line="360" w:lineRule="auto"/>
              <w:rPr>
                <w:rFonts w:ascii="Arial" w:eastAsia="Arial Unicode MS" w:hAnsi="Arial"/>
                <w:snapToGrid w:val="0"/>
                <w:vanish/>
                <w:sz w:val="20"/>
                <w:szCs w:val="26"/>
                <w:rtl/>
              </w:rPr>
            </w:pPr>
          </w:p>
          <w:p w:rsidR="00872CDB" w:rsidRDefault="00872CDB" w:rsidP="00872CDB">
            <w:pPr>
              <w:pStyle w:val="TableBlock"/>
              <w:numPr>
                <w:ilvl w:val="0"/>
                <w:numId w:val="36"/>
              </w:numPr>
              <w:tabs>
                <w:tab w:val="left" w:pos="624"/>
              </w:tabs>
              <w:rPr>
                <w:rtl/>
              </w:rPr>
            </w:pPr>
            <w:r>
              <w:rPr>
                <w:rFonts w:hint="cs"/>
                <w:rtl/>
              </w:rPr>
              <w:t>התקשרות של מנהלת תקומה עם ספק של משרד,</w:t>
            </w:r>
            <w:r w:rsidRPr="008F4D10">
              <w:rPr>
                <w:rFonts w:ascii="Times New Roman" w:eastAsiaTheme="minorHAnsi" w:hAnsi="Times New Roman" w:cs="Times New Roman" w:hint="cs"/>
                <w:snapToGrid/>
                <w:rtl/>
              </w:rPr>
              <w:t xml:space="preserve"> </w:t>
            </w:r>
            <w:r w:rsidRPr="008F4D10">
              <w:rPr>
                <w:rFonts w:hint="cs"/>
                <w:rtl/>
              </w:rPr>
              <w:t xml:space="preserve">בנסיבות שבהן </w:t>
            </w:r>
            <w:r w:rsidRPr="00DD1B4A">
              <w:rPr>
                <w:rFonts w:hint="cs"/>
                <w:rtl/>
              </w:rPr>
              <w:t>ההתקשרות נדרשת מטעמי יעי</w:t>
            </w:r>
            <w:r w:rsidRPr="008F4D10">
              <w:rPr>
                <w:rFonts w:hint="cs"/>
                <w:rtl/>
              </w:rPr>
              <w:t>לות</w:t>
            </w:r>
            <w:r>
              <w:rPr>
                <w:rFonts w:hint="cs"/>
                <w:rtl/>
              </w:rPr>
              <w:t xml:space="preserve"> פעילותה של מנהלת תקומה, ההתקשרות אינה בתחום פעילות ליבה של המשרד ובאישור ועדת המכרזים של המשרד: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649" w:type="dxa"/>
            <w:gridSpan w:val="2"/>
          </w:tcPr>
          <w:p w:rsidR="00872CDB" w:rsidRPr="001D50BE" w:rsidRDefault="00872CDB" w:rsidP="00C845A1">
            <w:pPr>
              <w:pStyle w:val="TableBlock"/>
              <w:numPr>
                <w:ilvl w:val="0"/>
                <w:numId w:val="37"/>
              </w:numPr>
              <w:tabs>
                <w:tab w:val="left" w:pos="624"/>
              </w:tabs>
            </w:pPr>
            <w:r>
              <w:rPr>
                <w:rFonts w:hint="cs"/>
                <w:rtl/>
              </w:rPr>
              <w:t>באישור ועדת המכרזים של מנהלת תקומה אם התקיימו כל אלה:</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38"/>
              </w:numPr>
              <w:tabs>
                <w:tab w:val="left" w:pos="624"/>
              </w:tabs>
            </w:pPr>
            <w:r>
              <w:rPr>
                <w:rFonts w:hint="cs"/>
                <w:rtl/>
              </w:rPr>
              <w:t xml:space="preserve">התקשרות המשרד נעשתה בעקבות מכרז פומבי והיא בתחום </w:t>
            </w:r>
            <w:r w:rsidRPr="00FC7864">
              <w:rPr>
                <w:rFonts w:hint="cs"/>
                <w:rtl/>
              </w:rPr>
              <w:t xml:space="preserve">התקשרות </w:t>
            </w:r>
            <w:r>
              <w:rPr>
                <w:rFonts w:hint="cs"/>
                <w:rtl/>
              </w:rPr>
              <w:t>המשרד;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38"/>
              </w:numPr>
              <w:tabs>
                <w:tab w:val="left" w:pos="624"/>
              </w:tabs>
            </w:pPr>
            <w:r>
              <w:rPr>
                <w:rFonts w:hint="cs"/>
                <w:rtl/>
              </w:rPr>
              <w:t>שווי ההתקשרות המבוקש אינו עולה על עשרה אחוזים משווי התקשרות המשרד וכן אינו עולה על 150,000 שקלים חדשים;</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38"/>
              </w:numPr>
              <w:tabs>
                <w:tab w:val="left" w:pos="624"/>
              </w:tabs>
            </w:pPr>
            <w:r w:rsidRPr="008F4D10">
              <w:rPr>
                <w:rFonts w:hint="cs"/>
                <w:rtl/>
              </w:rPr>
              <w:t xml:space="preserve">היא בתנאים זהים לתנאי התקשרות </w:t>
            </w:r>
            <w:r>
              <w:rPr>
                <w:rFonts w:hint="cs"/>
                <w:rtl/>
              </w:rPr>
              <w:t xml:space="preserve">המשרד </w:t>
            </w:r>
            <w:r w:rsidRPr="008F4D10">
              <w:rPr>
                <w:rFonts w:hint="cs"/>
                <w:rtl/>
              </w:rPr>
              <w:t xml:space="preserve">או מיטיבים עם </w:t>
            </w:r>
            <w:r>
              <w:rPr>
                <w:rFonts w:hint="cs"/>
                <w:rtl/>
              </w:rPr>
              <w:t>המנהלת ביחס לתנאי ה</w:t>
            </w:r>
            <w:r w:rsidRPr="008F4D10">
              <w:rPr>
                <w:rFonts w:hint="cs"/>
                <w:rtl/>
              </w:rPr>
              <w:t xml:space="preserve">תקשרות </w:t>
            </w:r>
            <w:r>
              <w:rPr>
                <w:rFonts w:hint="cs"/>
                <w:rtl/>
              </w:rPr>
              <w:t>המשרד;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Pr="008F4D10" w:rsidRDefault="00872CDB" w:rsidP="00C845A1">
            <w:pPr>
              <w:pStyle w:val="TableBlock"/>
              <w:numPr>
                <w:ilvl w:val="0"/>
                <w:numId w:val="38"/>
              </w:numPr>
              <w:tabs>
                <w:tab w:val="left" w:pos="624"/>
              </w:tabs>
              <w:rPr>
                <w:rtl/>
              </w:rPr>
            </w:pPr>
            <w:r>
              <w:rPr>
                <w:rFonts w:hint="cs"/>
                <w:rtl/>
              </w:rPr>
              <w:t>שוויין המצטבר של כל ההתקשרויות שנעשו עם ספק של משרד, מכח פסקה זו וכן מכח פסקה (4), אינו עולה על שווי התקשרות המשרד.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649" w:type="dxa"/>
            <w:gridSpan w:val="2"/>
          </w:tcPr>
          <w:p w:rsidR="00872CDB" w:rsidRDefault="00872CDB" w:rsidP="00C845A1">
            <w:pPr>
              <w:pStyle w:val="TableBlock"/>
              <w:numPr>
                <w:ilvl w:val="0"/>
                <w:numId w:val="37"/>
              </w:numPr>
              <w:tabs>
                <w:tab w:val="left" w:pos="624"/>
              </w:tabs>
            </w:pPr>
            <w:r>
              <w:rPr>
                <w:rFonts w:hint="cs"/>
                <w:rtl/>
              </w:rPr>
              <w:t xml:space="preserve">באישור ועדת הפטור המשרדית של מנהלת תקומה </w:t>
            </w:r>
            <w:r w:rsidRPr="00AA47C3">
              <w:rPr>
                <w:rFonts w:hint="cs"/>
                <w:rtl/>
              </w:rPr>
              <w:t>אם אינה התקשרות כאמור בפסקת משנה (</w:t>
            </w:r>
            <w:r>
              <w:rPr>
                <w:rFonts w:hint="cs"/>
                <w:rtl/>
              </w:rPr>
              <w:t>1</w:t>
            </w:r>
            <w:r w:rsidRPr="00AA47C3">
              <w:rPr>
                <w:rFonts w:hint="cs"/>
                <w:rtl/>
              </w:rPr>
              <w:t>) ונתקיימו בה כל אלה:</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5E25F0">
            <w:pPr>
              <w:pStyle w:val="TableBlock"/>
              <w:numPr>
                <w:ilvl w:val="0"/>
                <w:numId w:val="39"/>
              </w:numPr>
              <w:tabs>
                <w:tab w:val="left" w:pos="624"/>
              </w:tabs>
            </w:pPr>
            <w:r>
              <w:rPr>
                <w:rFonts w:hint="cs"/>
                <w:rtl/>
              </w:rPr>
              <w:t xml:space="preserve">התקשרות המשרד נעשתה בעקבות  מכרז או בעקבות פניה תחרותית לקבלת הצעות והיא בתחום </w:t>
            </w:r>
            <w:r w:rsidRPr="00FC7864">
              <w:rPr>
                <w:rFonts w:hint="cs"/>
                <w:rtl/>
              </w:rPr>
              <w:t xml:space="preserve">התקשרות </w:t>
            </w:r>
            <w:r>
              <w:rPr>
                <w:rFonts w:hint="cs"/>
                <w:rtl/>
              </w:rPr>
              <w:t>המשרד;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39"/>
              </w:numPr>
              <w:tabs>
                <w:tab w:val="left" w:pos="624"/>
              </w:tabs>
            </w:pPr>
            <w:r>
              <w:rPr>
                <w:rFonts w:hint="cs"/>
                <w:rtl/>
              </w:rPr>
              <w:t xml:space="preserve">שווי ההתקשרות המבוקש אינו עולה על שווי התקשרות המשרד </w:t>
            </w:r>
            <w:r w:rsidRPr="00FC7864">
              <w:rPr>
                <w:rFonts w:hint="cs"/>
                <w:rtl/>
              </w:rPr>
              <w:t>וכן אינ</w:t>
            </w:r>
            <w:r>
              <w:rPr>
                <w:rFonts w:hint="cs"/>
                <w:rtl/>
              </w:rPr>
              <w:t>ו עולה על 4,000,000 שקלים חדשים;</w:t>
            </w:r>
          </w:p>
        </w:tc>
      </w:tr>
      <w:tr w:rsidR="00872CDB" w:rsidRPr="0045649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39"/>
              </w:numPr>
              <w:tabs>
                <w:tab w:val="left" w:pos="624"/>
              </w:tabs>
              <w:rPr>
                <w:rtl/>
              </w:rPr>
            </w:pPr>
            <w:r>
              <w:rPr>
                <w:rFonts w:hint="cs"/>
                <w:rtl/>
              </w:rPr>
              <w:t>שוויין המצטבר של כל ההתקשרויות שנעשו עם ספק של משרד, מכח פסקה זו וכן מכח פסקה (4), אינו עולה על 8,000,000 ₪.</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649" w:type="dxa"/>
            <w:gridSpan w:val="2"/>
          </w:tcPr>
          <w:p w:rsidR="00872CDB" w:rsidRDefault="00872CDB" w:rsidP="00C845A1">
            <w:pPr>
              <w:pStyle w:val="TableBlock"/>
              <w:numPr>
                <w:ilvl w:val="0"/>
                <w:numId w:val="37"/>
              </w:numPr>
              <w:tabs>
                <w:tab w:val="left" w:pos="624"/>
              </w:tabs>
            </w:pPr>
            <w:r>
              <w:rPr>
                <w:rFonts w:hint="cs"/>
                <w:rtl/>
              </w:rPr>
              <w:t>באישור החשב הכללי, או מי שהוא הסמיכו לכך, אם אינה התקשרות כאמור בפסקת משנה (ב)(1) או (2), ובתנאי שהיא מקיימת את אחד התנאים הבאים:</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52"/>
              </w:numPr>
              <w:tabs>
                <w:tab w:val="left" w:pos="624"/>
              </w:tabs>
            </w:pPr>
            <w:r>
              <w:rPr>
                <w:rFonts w:hint="cs"/>
                <w:rtl/>
              </w:rPr>
              <w:t>היא בתנאים זהים לתנאי התקשרות המשרד</w:t>
            </w:r>
            <w:r w:rsidRPr="00FC7864">
              <w:rPr>
                <w:rFonts w:hint="cs"/>
                <w:rtl/>
              </w:rPr>
              <w:t xml:space="preserve"> או מיטיבים עם </w:t>
            </w:r>
            <w:r>
              <w:rPr>
                <w:rFonts w:hint="cs"/>
                <w:rtl/>
              </w:rPr>
              <w:t>המנהלת ביחס לתנאי התקשרות המשרד</w:t>
            </w:r>
            <w:r w:rsidRPr="00FC7864">
              <w:rPr>
                <w:rFonts w:hint="cs"/>
                <w:rtl/>
              </w:rPr>
              <w:t>.</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4025" w:type="dxa"/>
          </w:tcPr>
          <w:p w:rsidR="00872CDB" w:rsidRDefault="00872CDB" w:rsidP="00C845A1">
            <w:pPr>
              <w:pStyle w:val="TableBlock"/>
              <w:numPr>
                <w:ilvl w:val="0"/>
                <w:numId w:val="52"/>
              </w:numPr>
              <w:tabs>
                <w:tab w:val="left" w:pos="624"/>
              </w:tabs>
            </w:pPr>
            <w:r>
              <w:rPr>
                <w:rFonts w:hint="cs"/>
                <w:rtl/>
              </w:rPr>
              <w:t xml:space="preserve">היא קשורה באופן מובהק לנושא </w:t>
            </w:r>
            <w:r w:rsidRPr="00FC7864">
              <w:rPr>
                <w:rFonts w:hint="cs"/>
                <w:rtl/>
              </w:rPr>
              <w:t xml:space="preserve">התקשרות </w:t>
            </w:r>
            <w:r>
              <w:rPr>
                <w:rFonts w:hint="cs"/>
                <w:rtl/>
              </w:rPr>
              <w:t>המשרד</w:t>
            </w:r>
            <w:r w:rsidRPr="00FC7864">
              <w:rPr>
                <w:rFonts w:hint="cs"/>
                <w:rtl/>
              </w:rPr>
              <w:t>, ונדרשת לצורך ביצוע ההתקשרות באופן מיטבי, מטעמים מיוחדים שיירשמו</w:t>
            </w:r>
            <w:r>
              <w:rPr>
                <w:rFonts w:hint="cs"/>
                <w:rtl/>
              </w:rPr>
              <w:t>.</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5897" w:type="dxa"/>
            <w:gridSpan w:val="4"/>
          </w:tcPr>
          <w:p w:rsidR="00872CDB" w:rsidRDefault="00872CDB" w:rsidP="00B73461">
            <w:pPr>
              <w:pStyle w:val="TableBlock"/>
            </w:pPr>
            <w:r>
              <w:rPr>
                <w:rFonts w:hint="cs"/>
                <w:rtl/>
              </w:rPr>
              <w:t>(36) התקשרות של מנהלת תקומה, בדרך של עריכת מכרז סגור או פניה תחרותית לקבלת הצעות כאמור בתקנה 16א, מתוך רשימת מציעים שמנהל משרד.";</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521" w:type="dxa"/>
            <w:gridSpan w:val="5"/>
          </w:tcPr>
          <w:p w:rsidR="00872CDB" w:rsidRPr="005E25F0" w:rsidRDefault="00872CDB" w:rsidP="00C845A1">
            <w:pPr>
              <w:pStyle w:val="TableBlock"/>
              <w:numPr>
                <w:ilvl w:val="0"/>
                <w:numId w:val="55"/>
              </w:numPr>
            </w:pPr>
            <w:r w:rsidRPr="005E25F0">
              <w:rPr>
                <w:rFonts w:hint="cs"/>
                <w:rtl/>
              </w:rPr>
              <w:t>בתקנה 5א(ב) -</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Pr="005E25F0" w:rsidRDefault="00872CDB" w:rsidP="00872CDB">
            <w:pPr>
              <w:pStyle w:val="TableText"/>
            </w:pPr>
          </w:p>
        </w:tc>
        <w:tc>
          <w:tcPr>
            <w:tcW w:w="5897" w:type="dxa"/>
            <w:gridSpan w:val="4"/>
          </w:tcPr>
          <w:p w:rsidR="00872CDB" w:rsidRPr="005E25F0" w:rsidRDefault="00872CDB" w:rsidP="00C845A1">
            <w:pPr>
              <w:pStyle w:val="TableBlock"/>
              <w:numPr>
                <w:ilvl w:val="0"/>
                <w:numId w:val="48"/>
              </w:numPr>
              <w:tabs>
                <w:tab w:val="left" w:pos="624"/>
              </w:tabs>
            </w:pPr>
            <w:r w:rsidRPr="005E25F0">
              <w:rPr>
                <w:rFonts w:hint="cs"/>
                <w:rtl/>
              </w:rPr>
              <w:t>בפסקה (1) במקום "מיליון וחצי" בא "שנים וחצי מיליון";</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Pr="005E25F0" w:rsidRDefault="00872CDB" w:rsidP="00872CDB">
            <w:pPr>
              <w:pStyle w:val="TableText"/>
            </w:pPr>
          </w:p>
        </w:tc>
        <w:tc>
          <w:tcPr>
            <w:tcW w:w="5897" w:type="dxa"/>
            <w:gridSpan w:val="4"/>
          </w:tcPr>
          <w:p w:rsidR="00872CDB" w:rsidRPr="005E25F0" w:rsidRDefault="00872CDB" w:rsidP="00C845A1">
            <w:pPr>
              <w:pStyle w:val="TableBlock"/>
              <w:numPr>
                <w:ilvl w:val="0"/>
                <w:numId w:val="48"/>
              </w:numPr>
              <w:tabs>
                <w:tab w:val="left" w:pos="624"/>
              </w:tabs>
              <w:rPr>
                <w:rtl/>
              </w:rPr>
            </w:pPr>
            <w:r w:rsidRPr="005E25F0">
              <w:rPr>
                <w:rFonts w:hint="cs"/>
                <w:rtl/>
              </w:rPr>
              <w:t>בפסקה (2) במקום "מיליון וחצי שקלים חדשים ועד 3 מיליון שקלים חדשים" בא "שנים וחצי מליון שקלים חדשים עד חמישה מיליון שקלים חדשים";</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24" w:type="dxa"/>
          </w:tcPr>
          <w:p w:rsidR="00872CDB" w:rsidRPr="005E25F0" w:rsidRDefault="00872CDB" w:rsidP="00872CDB">
            <w:pPr>
              <w:pStyle w:val="TableText"/>
            </w:pPr>
          </w:p>
        </w:tc>
        <w:tc>
          <w:tcPr>
            <w:tcW w:w="5897" w:type="dxa"/>
            <w:gridSpan w:val="4"/>
          </w:tcPr>
          <w:p w:rsidR="00872CDB" w:rsidRPr="005E25F0" w:rsidRDefault="00872CDB" w:rsidP="00C845A1">
            <w:pPr>
              <w:pStyle w:val="TableBlock"/>
              <w:numPr>
                <w:ilvl w:val="0"/>
                <w:numId w:val="48"/>
              </w:numPr>
              <w:tabs>
                <w:tab w:val="left" w:pos="624"/>
              </w:tabs>
              <w:rPr>
                <w:rtl/>
              </w:rPr>
            </w:pPr>
            <w:r w:rsidRPr="005E25F0">
              <w:rPr>
                <w:rFonts w:hint="cs"/>
                <w:rtl/>
              </w:rPr>
              <w:t>בפסקה (3) במקום "3 מיליון" בא "חמישה מיליון".</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521" w:type="dxa"/>
            <w:gridSpan w:val="5"/>
          </w:tcPr>
          <w:p w:rsidR="00872CDB" w:rsidRPr="005E25F0" w:rsidRDefault="00872CDB" w:rsidP="00C845A1">
            <w:pPr>
              <w:pStyle w:val="TableBlock"/>
              <w:numPr>
                <w:ilvl w:val="0"/>
                <w:numId w:val="55"/>
              </w:numPr>
            </w:pPr>
            <w:r w:rsidRPr="005E25F0">
              <w:rPr>
                <w:rFonts w:hint="cs"/>
                <w:rtl/>
              </w:rPr>
              <w:t>בתקנה 12 במקום "4,000,</w:t>
            </w:r>
            <w:r w:rsidRPr="005E25F0">
              <w:rPr>
                <w:rtl/>
              </w:rPr>
              <w:t xml:space="preserve">000" </w:t>
            </w:r>
            <w:r w:rsidRPr="005E25F0">
              <w:rPr>
                <w:rFonts w:hint="eastAsia"/>
                <w:rtl/>
              </w:rPr>
              <w:t>בא</w:t>
            </w:r>
            <w:r w:rsidRPr="005E25F0">
              <w:rPr>
                <w:rtl/>
              </w:rPr>
              <w:t xml:space="preserve"> "8,000,000".</w:t>
            </w:r>
            <w:r w:rsidRPr="005E25F0">
              <w:rPr>
                <w:rFonts w:hint="cs"/>
                <w:rtl/>
              </w:rPr>
              <w:t xml:space="preserve"> </w:t>
            </w:r>
          </w:p>
        </w:tc>
      </w:tr>
      <w:tr w:rsidR="00872CDB" w:rsidTr="00C845A1">
        <w:trPr>
          <w:cantSplit/>
        </w:trPr>
        <w:tc>
          <w:tcPr>
            <w:tcW w:w="1869" w:type="dxa"/>
          </w:tcPr>
          <w:p w:rsidR="00872CDB" w:rsidRDefault="00872CDB" w:rsidP="00872CDB">
            <w:pPr>
              <w:pStyle w:val="TableSideHeading"/>
            </w:pPr>
          </w:p>
        </w:tc>
        <w:tc>
          <w:tcPr>
            <w:tcW w:w="624" w:type="dxa"/>
          </w:tcPr>
          <w:p w:rsidR="00872CDB" w:rsidRDefault="00872CDB" w:rsidP="00872CDB">
            <w:pPr>
              <w:pStyle w:val="TableText"/>
            </w:pPr>
          </w:p>
        </w:tc>
        <w:tc>
          <w:tcPr>
            <w:tcW w:w="624" w:type="dxa"/>
          </w:tcPr>
          <w:p w:rsidR="00872CDB" w:rsidRDefault="00872CDB" w:rsidP="00872CDB">
            <w:pPr>
              <w:pStyle w:val="TableText"/>
            </w:pPr>
          </w:p>
        </w:tc>
        <w:tc>
          <w:tcPr>
            <w:tcW w:w="6521" w:type="dxa"/>
            <w:gridSpan w:val="5"/>
          </w:tcPr>
          <w:p w:rsidR="00872CDB" w:rsidRPr="005E25F0" w:rsidRDefault="00872CDB" w:rsidP="00C845A1">
            <w:pPr>
              <w:pStyle w:val="TableBlock"/>
              <w:numPr>
                <w:ilvl w:val="0"/>
                <w:numId w:val="55"/>
              </w:numPr>
            </w:pPr>
            <w:r w:rsidRPr="005E25F0">
              <w:rPr>
                <w:rFonts w:hint="cs"/>
                <w:rtl/>
              </w:rPr>
              <w:t>בתקנה 15(א) במקום "בעיתון נפוץ, בעיתון בשפה הערבית ובאתר האינטרנט" בא "באתר האינטרנט".</w:t>
            </w:r>
          </w:p>
        </w:tc>
      </w:tr>
      <w:tr w:rsidR="008277D8" w:rsidTr="008277D8">
        <w:trPr>
          <w:cantSplit/>
          <w:trHeight w:val="60"/>
        </w:trPr>
        <w:tc>
          <w:tcPr>
            <w:tcW w:w="1869" w:type="dxa"/>
          </w:tcPr>
          <w:p w:rsidR="008277D8" w:rsidRDefault="008277D8" w:rsidP="008277D8">
            <w:pPr>
              <w:pStyle w:val="TableSideHeading"/>
              <w:keepLines w:val="0"/>
            </w:pPr>
            <w:r>
              <w:rPr>
                <w:rFonts w:hint="cs"/>
                <w:rtl/>
              </w:rPr>
              <w:t>הוראות לעניין פרסום והחלטות מנהלת תקומה</w:t>
            </w:r>
          </w:p>
        </w:tc>
        <w:tc>
          <w:tcPr>
            <w:tcW w:w="624" w:type="dxa"/>
          </w:tcPr>
          <w:p w:rsidR="008277D8" w:rsidRDefault="008277D8" w:rsidP="008277D8">
            <w:pPr>
              <w:pStyle w:val="TableText"/>
              <w:keepLines w:val="0"/>
              <w:numPr>
                <w:ilvl w:val="0"/>
                <w:numId w:val="11"/>
              </w:numPr>
            </w:pPr>
          </w:p>
        </w:tc>
        <w:tc>
          <w:tcPr>
            <w:tcW w:w="7145" w:type="dxa"/>
            <w:gridSpan w:val="6"/>
          </w:tcPr>
          <w:p w:rsidR="008277D8" w:rsidRPr="00C34DE2" w:rsidRDefault="008277D8" w:rsidP="008277D8">
            <w:pPr>
              <w:pStyle w:val="TableBlock"/>
              <w:keepLines w:val="0"/>
            </w:pPr>
            <w:r w:rsidRPr="00D96960">
              <w:rPr>
                <w:rFonts w:hint="eastAsia"/>
                <w:rtl/>
              </w:rPr>
              <w:t>לעניין</w:t>
            </w:r>
            <w:r w:rsidRPr="00D96960">
              <w:rPr>
                <w:rtl/>
              </w:rPr>
              <w:t xml:space="preserve"> </w:t>
            </w:r>
            <w:r>
              <w:rPr>
                <w:rFonts w:hint="cs"/>
                <w:rtl/>
              </w:rPr>
              <w:t xml:space="preserve">פרסום והחלטות </w:t>
            </w:r>
            <w:r w:rsidRPr="00D96960">
              <w:rPr>
                <w:rFonts w:hint="eastAsia"/>
                <w:rtl/>
              </w:rPr>
              <w:t>מנהלת</w:t>
            </w:r>
            <w:r w:rsidRPr="00D96960">
              <w:rPr>
                <w:rtl/>
              </w:rPr>
              <w:t xml:space="preserve"> </w:t>
            </w:r>
            <w:r w:rsidRPr="00D96960">
              <w:rPr>
                <w:rFonts w:hint="eastAsia"/>
                <w:rtl/>
              </w:rPr>
              <w:t>תקומה</w:t>
            </w:r>
            <w:r>
              <w:rPr>
                <w:rFonts w:hint="cs"/>
                <w:rtl/>
              </w:rPr>
              <w:t xml:space="preserve"> -</w:t>
            </w:r>
          </w:p>
        </w:tc>
      </w:tr>
      <w:tr w:rsidR="008277D8" w:rsidTr="00E0700D">
        <w:trPr>
          <w:cantSplit/>
          <w:trHeight w:val="60"/>
        </w:trPr>
        <w:tc>
          <w:tcPr>
            <w:tcW w:w="1869" w:type="dxa"/>
          </w:tcPr>
          <w:p w:rsidR="008277D8" w:rsidRDefault="008277D8" w:rsidP="008277D8">
            <w:pPr>
              <w:pStyle w:val="TableSideHeading"/>
            </w:pPr>
          </w:p>
        </w:tc>
        <w:tc>
          <w:tcPr>
            <w:tcW w:w="624" w:type="dxa"/>
          </w:tcPr>
          <w:p w:rsidR="008277D8" w:rsidRDefault="008277D8" w:rsidP="008277D8">
            <w:pPr>
              <w:pStyle w:val="TableText"/>
            </w:pPr>
          </w:p>
        </w:tc>
        <w:tc>
          <w:tcPr>
            <w:tcW w:w="624" w:type="dxa"/>
          </w:tcPr>
          <w:p w:rsidR="008277D8" w:rsidRDefault="008277D8" w:rsidP="008277D8">
            <w:pPr>
              <w:pStyle w:val="TableText"/>
            </w:pPr>
          </w:p>
        </w:tc>
        <w:tc>
          <w:tcPr>
            <w:tcW w:w="6521" w:type="dxa"/>
            <w:gridSpan w:val="5"/>
          </w:tcPr>
          <w:p w:rsidR="008277D8" w:rsidRDefault="008277D8" w:rsidP="00C845A1">
            <w:pPr>
              <w:pStyle w:val="TableBlock"/>
              <w:numPr>
                <w:ilvl w:val="0"/>
                <w:numId w:val="58"/>
              </w:numPr>
              <w:tabs>
                <w:tab w:val="left" w:pos="624"/>
              </w:tabs>
            </w:pPr>
            <w:r w:rsidRPr="007F26D3">
              <w:rPr>
                <w:rFonts w:hint="cs"/>
                <w:rtl/>
              </w:rPr>
              <w:t xml:space="preserve">בתקופה </w:t>
            </w:r>
            <w:r w:rsidRPr="00981C44">
              <w:rPr>
                <w:rFonts w:hint="cs"/>
                <w:rtl/>
              </w:rPr>
              <w:t>שמיום פרסום תקנות</w:t>
            </w:r>
            <w:r w:rsidRPr="007F26D3">
              <w:rPr>
                <w:rFonts w:hint="cs"/>
                <w:rtl/>
              </w:rPr>
              <w:t xml:space="preserve"> אלו ועד </w:t>
            </w:r>
            <w:r w:rsidRPr="00981C44">
              <w:rPr>
                <w:rFonts w:hint="cs"/>
                <w:rtl/>
              </w:rPr>
              <w:t xml:space="preserve">ליום </w:t>
            </w:r>
            <w:r>
              <w:rPr>
                <w:rFonts w:hint="cs"/>
                <w:rtl/>
              </w:rPr>
              <w:t xml:space="preserve">כ"ד סיוון התשפ"ד (30 ביוני 2024), </w:t>
            </w:r>
            <w:r w:rsidRPr="00D96960">
              <w:rPr>
                <w:rtl/>
              </w:rPr>
              <w:t xml:space="preserve">יראו כאילו בתקנות </w:t>
            </w:r>
            <w:r>
              <w:rPr>
                <w:rFonts w:hint="cs"/>
                <w:rtl/>
              </w:rPr>
              <w:t>העיקריות -</w:t>
            </w:r>
          </w:p>
        </w:tc>
      </w:tr>
      <w:tr w:rsidR="008277D8" w:rsidTr="00C845A1">
        <w:trPr>
          <w:cantSplit/>
        </w:trPr>
        <w:tc>
          <w:tcPr>
            <w:tcW w:w="1869" w:type="dxa"/>
          </w:tcPr>
          <w:p w:rsidR="008277D8" w:rsidRDefault="008277D8" w:rsidP="00C845A1">
            <w:pPr>
              <w:pStyle w:val="TableSideHeading"/>
              <w:outlineLvl w:val="9"/>
            </w:pPr>
          </w:p>
        </w:tc>
        <w:tc>
          <w:tcPr>
            <w:tcW w:w="624" w:type="dxa"/>
          </w:tcPr>
          <w:p w:rsidR="008277D8" w:rsidRDefault="008277D8" w:rsidP="00C845A1">
            <w:pPr>
              <w:pStyle w:val="TableText"/>
              <w:jc w:val="both"/>
            </w:pPr>
          </w:p>
        </w:tc>
        <w:tc>
          <w:tcPr>
            <w:tcW w:w="624" w:type="dxa"/>
          </w:tcPr>
          <w:p w:rsidR="008277D8" w:rsidRDefault="008277D8" w:rsidP="00C845A1">
            <w:pPr>
              <w:pStyle w:val="TableText"/>
              <w:jc w:val="both"/>
            </w:pPr>
          </w:p>
        </w:tc>
        <w:tc>
          <w:tcPr>
            <w:tcW w:w="624" w:type="dxa"/>
          </w:tcPr>
          <w:p w:rsidR="008277D8" w:rsidRPr="00E0700D" w:rsidRDefault="008277D8" w:rsidP="00B73461">
            <w:pPr>
              <w:pStyle w:val="TableText"/>
              <w:jc w:val="both"/>
            </w:pPr>
          </w:p>
        </w:tc>
        <w:tc>
          <w:tcPr>
            <w:tcW w:w="5897" w:type="dxa"/>
            <w:gridSpan w:val="4"/>
          </w:tcPr>
          <w:p w:rsidR="008277D8" w:rsidRPr="005B20A5" w:rsidRDefault="008277D8" w:rsidP="00C845A1">
            <w:pPr>
              <w:pStyle w:val="TableBlock"/>
              <w:numPr>
                <w:ilvl w:val="0"/>
                <w:numId w:val="53"/>
              </w:numPr>
              <w:tabs>
                <w:tab w:val="left" w:pos="624"/>
              </w:tabs>
            </w:pPr>
            <w:r w:rsidRPr="006F2C65">
              <w:rPr>
                <w:rFonts w:hint="eastAsia"/>
                <w:rtl/>
              </w:rPr>
              <w:t>במקום</w:t>
            </w:r>
            <w:r w:rsidRPr="006F2C65">
              <w:rPr>
                <w:rtl/>
              </w:rPr>
              <w:t xml:space="preserve"> תקנה 1ג(א) בא </w:t>
            </w:r>
            <w:r>
              <w:rPr>
                <w:rFonts w:hint="cs"/>
                <w:rtl/>
              </w:rPr>
              <w:t>"</w:t>
            </w:r>
            <w:r w:rsidRPr="006F2C65">
              <w:rPr>
                <w:rtl/>
              </w:rPr>
              <w:t xml:space="preserve">החליטה מנהלת תקומה לבצע התקשרות שלא באמצעות מכרז לפי תקנות אלו, למעט התקשרות לפי תקנה 3(1), תעביר את החלטתה המנומקת לוועדת הפטור בתוך </w:t>
            </w:r>
            <w:r w:rsidRPr="006F2C65">
              <w:rPr>
                <w:rFonts w:hint="eastAsia"/>
                <w:rtl/>
              </w:rPr>
              <w:t>חמישה</w:t>
            </w:r>
            <w:r w:rsidRPr="006F2C65">
              <w:rPr>
                <w:rtl/>
              </w:rPr>
              <w:t xml:space="preserve"> ימי עבודה ממועד קבלת ההחלטה, וכן תפרסמה באתר האינטרנט לא יאוחר משלושה חודשים ממועד קבלת ההחלטה.".</w:t>
            </w:r>
          </w:p>
        </w:tc>
      </w:tr>
      <w:tr w:rsidR="008277D8" w:rsidTr="00C845A1">
        <w:trPr>
          <w:cantSplit/>
          <w:trHeight w:val="60"/>
        </w:trPr>
        <w:tc>
          <w:tcPr>
            <w:tcW w:w="1869" w:type="dxa"/>
          </w:tcPr>
          <w:p w:rsidR="008277D8" w:rsidRDefault="008277D8" w:rsidP="00C845A1">
            <w:pPr>
              <w:pStyle w:val="TableSideHeading"/>
              <w:outlineLvl w:val="9"/>
            </w:pPr>
          </w:p>
        </w:tc>
        <w:tc>
          <w:tcPr>
            <w:tcW w:w="624" w:type="dxa"/>
          </w:tcPr>
          <w:p w:rsidR="008277D8" w:rsidRDefault="008277D8" w:rsidP="00C845A1">
            <w:pPr>
              <w:pStyle w:val="TableText"/>
              <w:jc w:val="both"/>
            </w:pPr>
          </w:p>
        </w:tc>
        <w:tc>
          <w:tcPr>
            <w:tcW w:w="624" w:type="dxa"/>
          </w:tcPr>
          <w:p w:rsidR="008277D8" w:rsidRDefault="008277D8" w:rsidP="00C845A1">
            <w:pPr>
              <w:pStyle w:val="TableText"/>
              <w:jc w:val="both"/>
            </w:pPr>
          </w:p>
        </w:tc>
        <w:tc>
          <w:tcPr>
            <w:tcW w:w="624" w:type="dxa"/>
          </w:tcPr>
          <w:p w:rsidR="008277D8" w:rsidRPr="005B20A5" w:rsidRDefault="008277D8" w:rsidP="00B73461">
            <w:pPr>
              <w:pStyle w:val="TableText"/>
              <w:jc w:val="both"/>
            </w:pPr>
          </w:p>
        </w:tc>
        <w:tc>
          <w:tcPr>
            <w:tcW w:w="5897" w:type="dxa"/>
            <w:gridSpan w:val="4"/>
          </w:tcPr>
          <w:p w:rsidR="008277D8" w:rsidRPr="005B20A5" w:rsidRDefault="008277D8" w:rsidP="00C845A1">
            <w:pPr>
              <w:pStyle w:val="TableBlock"/>
              <w:numPr>
                <w:ilvl w:val="0"/>
                <w:numId w:val="53"/>
              </w:numPr>
              <w:tabs>
                <w:tab w:val="left" w:pos="624"/>
              </w:tabs>
            </w:pPr>
            <w:r>
              <w:rPr>
                <w:rFonts w:hint="cs"/>
                <w:rtl/>
              </w:rPr>
              <w:t>בתקנ</w:t>
            </w:r>
            <w:r w:rsidRPr="006F2C65">
              <w:rPr>
                <w:rFonts w:hint="cs"/>
                <w:rtl/>
              </w:rPr>
              <w:t>ה 3</w:t>
            </w:r>
            <w:r w:rsidRPr="006F2C65">
              <w:rPr>
                <w:rtl/>
              </w:rPr>
              <w:t xml:space="preserve">(29) </w:t>
            </w:r>
            <w:r w:rsidRPr="006F2C65">
              <w:rPr>
                <w:rFonts w:hint="eastAsia"/>
                <w:rtl/>
              </w:rPr>
              <w:t>במקום</w:t>
            </w:r>
            <w:r w:rsidRPr="006F2C65">
              <w:rPr>
                <w:rtl/>
              </w:rPr>
              <w:t xml:space="preserve"> "לאחר </w:t>
            </w:r>
            <w:r w:rsidRPr="006F2C65">
              <w:rPr>
                <w:rFonts w:hint="eastAsia"/>
                <w:rtl/>
              </w:rPr>
              <w:t>בחינת</w:t>
            </w:r>
            <w:r w:rsidRPr="006F2C65">
              <w:rPr>
                <w:rtl/>
              </w:rPr>
              <w:t xml:space="preserve"> </w:t>
            </w:r>
            <w:r w:rsidRPr="006F2C65">
              <w:rPr>
                <w:rFonts w:hint="eastAsia"/>
                <w:rtl/>
              </w:rPr>
              <w:t>קיומם</w:t>
            </w:r>
            <w:r w:rsidRPr="006F2C65">
              <w:rPr>
                <w:rtl/>
              </w:rPr>
              <w:t xml:space="preserve"> </w:t>
            </w:r>
            <w:r w:rsidRPr="006F2C65">
              <w:rPr>
                <w:rFonts w:hint="eastAsia"/>
                <w:rtl/>
              </w:rPr>
              <w:t>של</w:t>
            </w:r>
            <w:r w:rsidRPr="006F2C65">
              <w:rPr>
                <w:rtl/>
              </w:rPr>
              <w:t xml:space="preserve"> </w:t>
            </w:r>
            <w:r w:rsidRPr="006F2C65">
              <w:rPr>
                <w:rFonts w:hint="eastAsia"/>
                <w:rtl/>
              </w:rPr>
              <w:t>ספקים</w:t>
            </w:r>
            <w:r w:rsidRPr="006F2C65">
              <w:rPr>
                <w:rtl/>
              </w:rPr>
              <w:t xml:space="preserve"> </w:t>
            </w:r>
            <w:r w:rsidRPr="006F2C65">
              <w:rPr>
                <w:rFonts w:hint="eastAsia"/>
                <w:rtl/>
              </w:rPr>
              <w:t>לפי</w:t>
            </w:r>
            <w:r w:rsidRPr="006F2C65">
              <w:rPr>
                <w:rtl/>
              </w:rPr>
              <w:t xml:space="preserve"> </w:t>
            </w:r>
            <w:r w:rsidRPr="006F2C65">
              <w:rPr>
                <w:rFonts w:hint="eastAsia"/>
                <w:rtl/>
              </w:rPr>
              <w:t>תקנה</w:t>
            </w:r>
            <w:r w:rsidRPr="006F2C65">
              <w:rPr>
                <w:rtl/>
              </w:rPr>
              <w:t xml:space="preserve"> 3א(א)" </w:t>
            </w:r>
            <w:r w:rsidRPr="006F2C65">
              <w:rPr>
                <w:rFonts w:hint="eastAsia"/>
                <w:rtl/>
              </w:rPr>
              <w:t>בא</w:t>
            </w:r>
            <w:r w:rsidRPr="006F2C65">
              <w:rPr>
                <w:rtl/>
              </w:rPr>
              <w:t xml:space="preserve"> "לאחר </w:t>
            </w:r>
            <w:r w:rsidRPr="006F2C65">
              <w:rPr>
                <w:rFonts w:hint="eastAsia"/>
                <w:rtl/>
              </w:rPr>
              <w:t>שהיחידה</w:t>
            </w:r>
            <w:r w:rsidRPr="006F2C65">
              <w:rPr>
                <w:rtl/>
              </w:rPr>
              <w:t xml:space="preserve"> </w:t>
            </w:r>
            <w:r w:rsidRPr="006F2C65">
              <w:rPr>
                <w:rFonts w:hint="eastAsia"/>
                <w:rtl/>
              </w:rPr>
              <w:t>המזמינה</w:t>
            </w:r>
            <w:r w:rsidRPr="006F2C65">
              <w:rPr>
                <w:rtl/>
              </w:rPr>
              <w:t xml:space="preserve"> </w:t>
            </w:r>
            <w:r w:rsidRPr="006F2C65">
              <w:rPr>
                <w:rFonts w:hint="eastAsia"/>
                <w:rtl/>
              </w:rPr>
              <w:t>עשתה</w:t>
            </w:r>
            <w:r w:rsidRPr="006F2C65">
              <w:rPr>
                <w:rtl/>
              </w:rPr>
              <w:t xml:space="preserve"> </w:t>
            </w:r>
            <w:r w:rsidRPr="006F2C65">
              <w:rPr>
                <w:rFonts w:hint="eastAsia"/>
                <w:rtl/>
              </w:rPr>
              <w:t>את</w:t>
            </w:r>
            <w:r w:rsidRPr="006F2C65">
              <w:rPr>
                <w:rtl/>
              </w:rPr>
              <w:t xml:space="preserve"> </w:t>
            </w:r>
            <w:r w:rsidRPr="006F2C65">
              <w:rPr>
                <w:rFonts w:hint="eastAsia"/>
                <w:rtl/>
              </w:rPr>
              <w:t>האמור</w:t>
            </w:r>
            <w:r w:rsidRPr="006F2C65">
              <w:rPr>
                <w:rtl/>
              </w:rPr>
              <w:t xml:space="preserve"> </w:t>
            </w:r>
            <w:r w:rsidRPr="006F2C65">
              <w:rPr>
                <w:rFonts w:hint="eastAsia"/>
                <w:rtl/>
              </w:rPr>
              <w:t>לפי</w:t>
            </w:r>
            <w:r w:rsidRPr="006F2C65">
              <w:rPr>
                <w:rtl/>
              </w:rPr>
              <w:t xml:space="preserve"> </w:t>
            </w:r>
            <w:r w:rsidRPr="006F2C65">
              <w:rPr>
                <w:rFonts w:hint="eastAsia"/>
                <w:rtl/>
              </w:rPr>
              <w:t>תקנה</w:t>
            </w:r>
            <w:r w:rsidRPr="006F2C65">
              <w:rPr>
                <w:rtl/>
              </w:rPr>
              <w:t xml:space="preserve"> 3א(א)(א) וצירפה את חוות הדעת האמורה לבקשתה להתקשר עם ספק יחיד, </w:t>
            </w:r>
            <w:r w:rsidRPr="006F2C65">
              <w:rPr>
                <w:rFonts w:hint="eastAsia"/>
                <w:rtl/>
              </w:rPr>
              <w:t>ולעניין</w:t>
            </w:r>
            <w:r w:rsidRPr="006F2C65">
              <w:rPr>
                <w:rtl/>
              </w:rPr>
              <w:t xml:space="preserve"> </w:t>
            </w:r>
            <w:r w:rsidRPr="006F2C65">
              <w:rPr>
                <w:rFonts w:hint="eastAsia"/>
                <w:rtl/>
              </w:rPr>
              <w:t>זה</w:t>
            </w:r>
            <w:r w:rsidRPr="006F2C65">
              <w:rPr>
                <w:rtl/>
              </w:rPr>
              <w:t xml:space="preserve"> </w:t>
            </w:r>
            <w:r w:rsidRPr="006F2C65">
              <w:rPr>
                <w:rFonts w:hint="eastAsia"/>
                <w:rtl/>
              </w:rPr>
              <w:t>לא</w:t>
            </w:r>
            <w:r w:rsidRPr="006F2C65">
              <w:rPr>
                <w:rtl/>
              </w:rPr>
              <w:t xml:space="preserve"> </w:t>
            </w:r>
            <w:r w:rsidRPr="006F2C65">
              <w:rPr>
                <w:rFonts w:hint="eastAsia"/>
                <w:rtl/>
              </w:rPr>
              <w:t>יחולו</w:t>
            </w:r>
            <w:r w:rsidRPr="006F2C65">
              <w:rPr>
                <w:rtl/>
              </w:rPr>
              <w:t xml:space="preserve"> </w:t>
            </w:r>
            <w:r w:rsidRPr="006F2C65">
              <w:rPr>
                <w:rFonts w:hint="eastAsia"/>
                <w:rtl/>
              </w:rPr>
              <w:t>הוראות</w:t>
            </w:r>
            <w:r w:rsidRPr="006F2C65">
              <w:rPr>
                <w:rtl/>
              </w:rPr>
              <w:t xml:space="preserve"> </w:t>
            </w:r>
            <w:r w:rsidRPr="006F2C65">
              <w:rPr>
                <w:rFonts w:hint="eastAsia"/>
                <w:rtl/>
              </w:rPr>
              <w:t>תקנה</w:t>
            </w:r>
            <w:r w:rsidRPr="006F2C65">
              <w:rPr>
                <w:rtl/>
              </w:rPr>
              <w:t xml:space="preserve"> 3א(א)(1)(</w:t>
            </w:r>
            <w:r w:rsidRPr="006F2C65">
              <w:rPr>
                <w:rFonts w:hint="eastAsia"/>
                <w:rtl/>
              </w:rPr>
              <w:t>ב</w:t>
            </w:r>
            <w:r w:rsidRPr="006F2C65">
              <w:rPr>
                <w:rtl/>
              </w:rPr>
              <w:t xml:space="preserve">) </w:t>
            </w:r>
            <w:r w:rsidRPr="006F2C65">
              <w:rPr>
                <w:rFonts w:hint="eastAsia"/>
                <w:rtl/>
              </w:rPr>
              <w:t>ו</w:t>
            </w:r>
            <w:r w:rsidRPr="006F2C65">
              <w:rPr>
                <w:rtl/>
              </w:rPr>
              <w:t xml:space="preserve">- (א)(2) </w:t>
            </w:r>
            <w:r w:rsidRPr="006F2C65">
              <w:rPr>
                <w:rFonts w:hint="eastAsia"/>
                <w:rtl/>
              </w:rPr>
              <w:t>עד</w:t>
            </w:r>
            <w:r w:rsidRPr="006F2C65">
              <w:rPr>
                <w:rtl/>
              </w:rPr>
              <w:t xml:space="preserve"> (5);";</w:t>
            </w:r>
          </w:p>
        </w:tc>
      </w:tr>
      <w:tr w:rsidR="008277D8" w:rsidTr="00E0700D">
        <w:trPr>
          <w:cantSplit/>
          <w:trHeight w:val="60"/>
        </w:trPr>
        <w:tc>
          <w:tcPr>
            <w:tcW w:w="1869" w:type="dxa"/>
          </w:tcPr>
          <w:p w:rsidR="008277D8" w:rsidRDefault="008277D8" w:rsidP="008277D8">
            <w:pPr>
              <w:pStyle w:val="TableSideHeading"/>
            </w:pPr>
          </w:p>
        </w:tc>
        <w:tc>
          <w:tcPr>
            <w:tcW w:w="624" w:type="dxa"/>
          </w:tcPr>
          <w:p w:rsidR="008277D8" w:rsidRDefault="008277D8" w:rsidP="005B20A5">
            <w:pPr>
              <w:pStyle w:val="TableText"/>
            </w:pPr>
          </w:p>
        </w:tc>
        <w:tc>
          <w:tcPr>
            <w:tcW w:w="624" w:type="dxa"/>
          </w:tcPr>
          <w:p w:rsidR="008277D8" w:rsidRDefault="008277D8" w:rsidP="008277D8">
            <w:pPr>
              <w:pStyle w:val="TableText"/>
            </w:pPr>
          </w:p>
        </w:tc>
        <w:tc>
          <w:tcPr>
            <w:tcW w:w="6521" w:type="dxa"/>
            <w:gridSpan w:val="5"/>
          </w:tcPr>
          <w:p w:rsidR="008277D8" w:rsidRDefault="008277D8" w:rsidP="00C845A1">
            <w:pPr>
              <w:pStyle w:val="TableBlock"/>
              <w:numPr>
                <w:ilvl w:val="0"/>
                <w:numId w:val="58"/>
              </w:numPr>
              <w:tabs>
                <w:tab w:val="left" w:pos="624"/>
              </w:tabs>
              <w:rPr>
                <w:rtl/>
              </w:rPr>
            </w:pPr>
            <w:r w:rsidRPr="007F26D3">
              <w:rPr>
                <w:rFonts w:hint="cs"/>
                <w:rtl/>
              </w:rPr>
              <w:t xml:space="preserve">בתקופה </w:t>
            </w:r>
            <w:r w:rsidRPr="00981C44">
              <w:rPr>
                <w:rFonts w:hint="cs"/>
                <w:rtl/>
              </w:rPr>
              <w:t xml:space="preserve">שמיום </w:t>
            </w:r>
            <w:r w:rsidR="00861FC8">
              <w:rPr>
                <w:rFonts w:hint="cs"/>
                <w:rtl/>
              </w:rPr>
              <w:t>כ"ה בסיוון התשפ"ד (1 ביולי 2024)</w:t>
            </w:r>
            <w:r>
              <w:rPr>
                <w:rFonts w:hint="cs"/>
                <w:rtl/>
              </w:rPr>
              <w:t xml:space="preserve"> </w:t>
            </w:r>
            <w:r w:rsidRPr="007F26D3">
              <w:rPr>
                <w:rFonts w:hint="cs"/>
                <w:rtl/>
              </w:rPr>
              <w:t xml:space="preserve">ועד </w:t>
            </w:r>
            <w:r w:rsidRPr="00981C44">
              <w:rPr>
                <w:rFonts w:hint="cs"/>
                <w:rtl/>
              </w:rPr>
              <w:t>ליום</w:t>
            </w:r>
            <w:r>
              <w:rPr>
                <w:rFonts w:hint="cs"/>
                <w:rtl/>
              </w:rPr>
              <w:t xml:space="preserve"> ל' בכסלו התשפ"ה</w:t>
            </w:r>
            <w:r w:rsidRPr="00981C44">
              <w:rPr>
                <w:rFonts w:hint="cs"/>
                <w:rtl/>
              </w:rPr>
              <w:t xml:space="preserve"> </w:t>
            </w:r>
            <w:r>
              <w:rPr>
                <w:rFonts w:hint="cs"/>
                <w:rtl/>
              </w:rPr>
              <w:t>(</w:t>
            </w:r>
            <w:r w:rsidRPr="00981C44">
              <w:rPr>
                <w:rFonts w:hint="cs"/>
                <w:rtl/>
              </w:rPr>
              <w:t>31 בדצמבר 2024</w:t>
            </w:r>
            <w:r>
              <w:rPr>
                <w:rFonts w:hint="cs"/>
                <w:rtl/>
              </w:rPr>
              <w:t xml:space="preserve">), </w:t>
            </w:r>
            <w:r w:rsidRPr="00D96960">
              <w:rPr>
                <w:rtl/>
              </w:rPr>
              <w:t>יראו כאילו ב</w:t>
            </w:r>
            <w:r w:rsidR="003354CE">
              <w:rPr>
                <w:rFonts w:hint="cs"/>
                <w:rtl/>
              </w:rPr>
              <w:t>תקנה 3א(א) ל</w:t>
            </w:r>
            <w:r w:rsidRPr="00D96960">
              <w:rPr>
                <w:rtl/>
              </w:rPr>
              <w:t xml:space="preserve">תקנות </w:t>
            </w:r>
            <w:r>
              <w:rPr>
                <w:rFonts w:hint="cs"/>
                <w:rtl/>
              </w:rPr>
              <w:t xml:space="preserve">העיקריות - </w:t>
            </w:r>
          </w:p>
        </w:tc>
      </w:tr>
      <w:tr w:rsidR="008277D8" w:rsidTr="00E0700D">
        <w:trPr>
          <w:cantSplit/>
          <w:trHeight w:val="60"/>
        </w:trPr>
        <w:tc>
          <w:tcPr>
            <w:tcW w:w="1869" w:type="dxa"/>
          </w:tcPr>
          <w:p w:rsidR="008277D8" w:rsidRDefault="008277D8" w:rsidP="008277D8">
            <w:pPr>
              <w:pStyle w:val="TableSideHeading"/>
            </w:pPr>
          </w:p>
        </w:tc>
        <w:tc>
          <w:tcPr>
            <w:tcW w:w="624" w:type="dxa"/>
          </w:tcPr>
          <w:p w:rsidR="008277D8" w:rsidRDefault="008277D8" w:rsidP="008277D8">
            <w:pPr>
              <w:pStyle w:val="TableText"/>
            </w:pPr>
          </w:p>
        </w:tc>
        <w:tc>
          <w:tcPr>
            <w:tcW w:w="624" w:type="dxa"/>
          </w:tcPr>
          <w:p w:rsidR="008277D8" w:rsidRDefault="008277D8" w:rsidP="008277D8">
            <w:pPr>
              <w:pStyle w:val="TableText"/>
            </w:pPr>
          </w:p>
        </w:tc>
        <w:tc>
          <w:tcPr>
            <w:tcW w:w="624" w:type="dxa"/>
          </w:tcPr>
          <w:p w:rsidR="008277D8" w:rsidRPr="005B20A5" w:rsidRDefault="008277D8" w:rsidP="008277D8">
            <w:pPr>
              <w:pStyle w:val="TableText"/>
            </w:pPr>
          </w:p>
        </w:tc>
        <w:tc>
          <w:tcPr>
            <w:tcW w:w="5897" w:type="dxa"/>
            <w:gridSpan w:val="4"/>
          </w:tcPr>
          <w:p w:rsidR="008277D8" w:rsidRPr="005B20A5" w:rsidRDefault="008277D8" w:rsidP="00C845A1">
            <w:pPr>
              <w:pStyle w:val="TableBlock"/>
              <w:numPr>
                <w:ilvl w:val="0"/>
                <w:numId w:val="57"/>
              </w:numPr>
              <w:tabs>
                <w:tab w:val="left" w:pos="624"/>
              </w:tabs>
            </w:pPr>
            <w:r w:rsidRPr="005B20A5">
              <w:rPr>
                <w:rFonts w:hint="eastAsia"/>
                <w:rtl/>
              </w:rPr>
              <w:t>בפסקה</w:t>
            </w:r>
            <w:r w:rsidRPr="005B20A5">
              <w:rPr>
                <w:rtl/>
              </w:rPr>
              <w:t xml:space="preserve"> (1)(ב) </w:t>
            </w:r>
            <w:r w:rsidRPr="005B20A5">
              <w:rPr>
                <w:rFonts w:hint="eastAsia"/>
                <w:rtl/>
              </w:rPr>
              <w:t>במקום</w:t>
            </w:r>
            <w:r w:rsidRPr="005B20A5">
              <w:rPr>
                <w:rtl/>
              </w:rPr>
              <w:t xml:space="preserve"> "עשרה </w:t>
            </w:r>
            <w:r w:rsidRPr="005B20A5">
              <w:rPr>
                <w:rFonts w:hint="eastAsia"/>
                <w:rtl/>
              </w:rPr>
              <w:t>ימי</w:t>
            </w:r>
            <w:r w:rsidRPr="005B20A5">
              <w:rPr>
                <w:rtl/>
              </w:rPr>
              <w:t xml:space="preserve"> </w:t>
            </w:r>
            <w:r w:rsidRPr="005B20A5">
              <w:rPr>
                <w:rFonts w:hint="eastAsia"/>
                <w:rtl/>
              </w:rPr>
              <w:t>עבודה</w:t>
            </w:r>
            <w:r w:rsidRPr="005B20A5">
              <w:rPr>
                <w:rtl/>
              </w:rPr>
              <w:t xml:space="preserve">" </w:t>
            </w:r>
            <w:r w:rsidRPr="005B20A5">
              <w:rPr>
                <w:rFonts w:hint="eastAsia"/>
                <w:rtl/>
              </w:rPr>
              <w:t>בא</w:t>
            </w:r>
            <w:r w:rsidRPr="005B20A5">
              <w:rPr>
                <w:rtl/>
              </w:rPr>
              <w:t xml:space="preserve"> "חמישה </w:t>
            </w:r>
            <w:r w:rsidRPr="005B20A5">
              <w:rPr>
                <w:rFonts w:hint="eastAsia"/>
                <w:rtl/>
              </w:rPr>
              <w:t>ימי</w:t>
            </w:r>
            <w:r w:rsidRPr="005B20A5">
              <w:rPr>
                <w:rtl/>
              </w:rPr>
              <w:t xml:space="preserve">  </w:t>
            </w:r>
            <w:r w:rsidRPr="005B20A5">
              <w:rPr>
                <w:rFonts w:hint="eastAsia"/>
                <w:rtl/>
              </w:rPr>
              <w:t>עבודה</w:t>
            </w:r>
            <w:r w:rsidRPr="005B20A5">
              <w:rPr>
                <w:rtl/>
              </w:rPr>
              <w:t>";</w:t>
            </w:r>
          </w:p>
        </w:tc>
      </w:tr>
      <w:tr w:rsidR="008277D8" w:rsidTr="00E0700D">
        <w:trPr>
          <w:cantSplit/>
          <w:trHeight w:val="60"/>
        </w:trPr>
        <w:tc>
          <w:tcPr>
            <w:tcW w:w="1869" w:type="dxa"/>
          </w:tcPr>
          <w:p w:rsidR="008277D8" w:rsidRDefault="008277D8" w:rsidP="008277D8">
            <w:pPr>
              <w:pStyle w:val="TableSideHeading"/>
            </w:pPr>
          </w:p>
        </w:tc>
        <w:tc>
          <w:tcPr>
            <w:tcW w:w="624" w:type="dxa"/>
          </w:tcPr>
          <w:p w:rsidR="008277D8" w:rsidRDefault="008277D8" w:rsidP="005B20A5">
            <w:pPr>
              <w:pStyle w:val="TableText"/>
            </w:pPr>
          </w:p>
        </w:tc>
        <w:tc>
          <w:tcPr>
            <w:tcW w:w="624" w:type="dxa"/>
          </w:tcPr>
          <w:p w:rsidR="008277D8" w:rsidRDefault="008277D8" w:rsidP="008277D8">
            <w:pPr>
              <w:pStyle w:val="TableText"/>
            </w:pPr>
          </w:p>
        </w:tc>
        <w:tc>
          <w:tcPr>
            <w:tcW w:w="624" w:type="dxa"/>
          </w:tcPr>
          <w:p w:rsidR="008277D8" w:rsidRPr="005B20A5" w:rsidRDefault="008277D8" w:rsidP="008277D8">
            <w:pPr>
              <w:pStyle w:val="TableText"/>
            </w:pPr>
          </w:p>
        </w:tc>
        <w:tc>
          <w:tcPr>
            <w:tcW w:w="5897" w:type="dxa"/>
            <w:gridSpan w:val="4"/>
          </w:tcPr>
          <w:p w:rsidR="008277D8" w:rsidRPr="005B20A5" w:rsidRDefault="008277D8" w:rsidP="008277D8">
            <w:pPr>
              <w:pStyle w:val="TableBlock"/>
              <w:numPr>
                <w:ilvl w:val="0"/>
                <w:numId w:val="57"/>
              </w:numPr>
              <w:tabs>
                <w:tab w:val="left" w:pos="624"/>
              </w:tabs>
            </w:pPr>
            <w:r w:rsidRPr="00C845A1">
              <w:rPr>
                <w:rFonts w:hint="eastAsia"/>
                <w:rtl/>
              </w:rPr>
              <w:t>בפסקה</w:t>
            </w:r>
            <w:r w:rsidRPr="00C845A1">
              <w:rPr>
                <w:rtl/>
              </w:rPr>
              <w:t xml:space="preserve"> (א)(2) </w:t>
            </w:r>
            <w:r w:rsidRPr="00C845A1">
              <w:rPr>
                <w:rFonts w:hint="eastAsia"/>
                <w:rtl/>
              </w:rPr>
              <w:t>במקום</w:t>
            </w:r>
            <w:r w:rsidRPr="00C845A1">
              <w:rPr>
                <w:rtl/>
              </w:rPr>
              <w:t xml:space="preserve"> "מארבעה </w:t>
            </w:r>
            <w:r w:rsidRPr="00C845A1">
              <w:rPr>
                <w:rFonts w:hint="eastAsia"/>
                <w:rtl/>
              </w:rPr>
              <w:t>עשר</w:t>
            </w:r>
            <w:r w:rsidRPr="00C845A1">
              <w:rPr>
                <w:rtl/>
              </w:rPr>
              <w:t xml:space="preserve"> </w:t>
            </w:r>
            <w:r w:rsidRPr="00C845A1">
              <w:rPr>
                <w:rFonts w:hint="eastAsia"/>
                <w:rtl/>
              </w:rPr>
              <w:t>ימי</w:t>
            </w:r>
            <w:r w:rsidRPr="00C845A1">
              <w:rPr>
                <w:rtl/>
              </w:rPr>
              <w:t xml:space="preserve"> </w:t>
            </w:r>
            <w:r w:rsidRPr="00C845A1">
              <w:rPr>
                <w:rFonts w:hint="eastAsia"/>
                <w:rtl/>
              </w:rPr>
              <w:t>עבודה</w:t>
            </w:r>
            <w:r w:rsidRPr="00C845A1">
              <w:rPr>
                <w:rtl/>
              </w:rPr>
              <w:t xml:space="preserve">" </w:t>
            </w:r>
            <w:r w:rsidRPr="00C845A1">
              <w:rPr>
                <w:rFonts w:hint="eastAsia"/>
                <w:rtl/>
              </w:rPr>
              <w:t>בא</w:t>
            </w:r>
            <w:r w:rsidRPr="00C845A1">
              <w:rPr>
                <w:rtl/>
              </w:rPr>
              <w:t xml:space="preserve"> "משבעה </w:t>
            </w:r>
            <w:r w:rsidRPr="00C845A1">
              <w:rPr>
                <w:rFonts w:hint="eastAsia"/>
                <w:rtl/>
              </w:rPr>
              <w:t>ימי</w:t>
            </w:r>
            <w:r w:rsidRPr="00C845A1">
              <w:rPr>
                <w:rtl/>
              </w:rPr>
              <w:t xml:space="preserve"> </w:t>
            </w:r>
            <w:r w:rsidRPr="00C845A1">
              <w:rPr>
                <w:rFonts w:hint="eastAsia"/>
                <w:rtl/>
              </w:rPr>
              <w:t>עבודה</w:t>
            </w:r>
            <w:r w:rsidRPr="00C845A1">
              <w:rPr>
                <w:rtl/>
              </w:rPr>
              <w:t>";</w:t>
            </w:r>
          </w:p>
        </w:tc>
      </w:tr>
      <w:tr w:rsidR="008277D8" w:rsidTr="00C845A1">
        <w:trPr>
          <w:cantSplit/>
        </w:trPr>
        <w:tc>
          <w:tcPr>
            <w:tcW w:w="1869" w:type="dxa"/>
          </w:tcPr>
          <w:p w:rsidR="008277D8" w:rsidRDefault="001C58D6" w:rsidP="008277D8">
            <w:pPr>
              <w:pStyle w:val="TableSideHeading"/>
              <w:keepLines w:val="0"/>
            </w:pPr>
            <w:r>
              <w:rPr>
                <w:rFonts w:hint="cs"/>
                <w:rtl/>
              </w:rPr>
              <w:t>הוראות לעניין התקשרות עם בעל מקצוע מומחה</w:t>
            </w:r>
          </w:p>
        </w:tc>
        <w:tc>
          <w:tcPr>
            <w:tcW w:w="624" w:type="dxa"/>
          </w:tcPr>
          <w:p w:rsidR="008277D8" w:rsidRDefault="008277D8" w:rsidP="008277D8">
            <w:pPr>
              <w:pStyle w:val="TableText"/>
              <w:keepLines w:val="0"/>
              <w:numPr>
                <w:ilvl w:val="0"/>
                <w:numId w:val="11"/>
              </w:numPr>
            </w:pPr>
          </w:p>
        </w:tc>
        <w:tc>
          <w:tcPr>
            <w:tcW w:w="7145" w:type="dxa"/>
            <w:gridSpan w:val="6"/>
          </w:tcPr>
          <w:p w:rsidR="008277D8" w:rsidRPr="00C34DE2" w:rsidRDefault="001C58D6" w:rsidP="00C845A1">
            <w:pPr>
              <w:pStyle w:val="TableBlock"/>
            </w:pPr>
            <w:r>
              <w:rPr>
                <w:rFonts w:hint="cs"/>
                <w:rtl/>
              </w:rPr>
              <w:t xml:space="preserve">לעניין התקשרויות מנהלת תקומה עם בעל מקצוע מומחה, </w:t>
            </w:r>
            <w:r w:rsidRPr="007F26D3">
              <w:rPr>
                <w:rFonts w:hint="cs"/>
                <w:rtl/>
              </w:rPr>
              <w:t xml:space="preserve">בתקופה </w:t>
            </w:r>
            <w:r w:rsidRPr="00981C44">
              <w:rPr>
                <w:rFonts w:hint="cs"/>
                <w:rtl/>
              </w:rPr>
              <w:t>שמיום פרסום תקנות</w:t>
            </w:r>
            <w:r w:rsidRPr="007F26D3">
              <w:rPr>
                <w:rFonts w:hint="cs"/>
                <w:rtl/>
              </w:rPr>
              <w:t xml:space="preserve"> אלו </w:t>
            </w:r>
            <w:r>
              <w:rPr>
                <w:rFonts w:hint="cs"/>
                <w:rtl/>
              </w:rPr>
              <w:t xml:space="preserve">עד ליום כ"ב בניסן התשפ"ד (30 באפריל 2024), </w:t>
            </w:r>
            <w:r w:rsidRPr="00D96960">
              <w:rPr>
                <w:rtl/>
              </w:rPr>
              <w:t xml:space="preserve">יראו כאילו </w:t>
            </w:r>
            <w:r w:rsidR="003354CE">
              <w:rPr>
                <w:rFonts w:hint="cs"/>
                <w:rtl/>
              </w:rPr>
              <w:t>אחרי תקנה 3(36) ל</w:t>
            </w:r>
            <w:r w:rsidR="003354CE" w:rsidRPr="00D96960">
              <w:rPr>
                <w:rtl/>
              </w:rPr>
              <w:t xml:space="preserve">תקנות </w:t>
            </w:r>
            <w:r>
              <w:rPr>
                <w:rFonts w:hint="cs"/>
                <w:rtl/>
              </w:rPr>
              <w:t xml:space="preserve">העיקריות </w:t>
            </w:r>
            <w:r w:rsidR="000B3D44">
              <w:rPr>
                <w:rFonts w:hint="cs"/>
                <w:rtl/>
              </w:rPr>
              <w:t>בא:</w:t>
            </w:r>
          </w:p>
        </w:tc>
      </w:tr>
      <w:tr w:rsidR="000B3D44" w:rsidTr="00C845A1">
        <w:trPr>
          <w:cantSplit/>
        </w:trPr>
        <w:tc>
          <w:tcPr>
            <w:tcW w:w="1869" w:type="dxa"/>
          </w:tcPr>
          <w:p w:rsidR="000B3D44" w:rsidRDefault="000B3D44" w:rsidP="00C845A1">
            <w:pPr>
              <w:pStyle w:val="TableSideHeading"/>
              <w:outlineLvl w:val="9"/>
              <w:rPr>
                <w:rtl/>
              </w:rPr>
            </w:pPr>
          </w:p>
        </w:tc>
        <w:tc>
          <w:tcPr>
            <w:tcW w:w="624" w:type="dxa"/>
          </w:tcPr>
          <w:p w:rsidR="000B3D44" w:rsidRDefault="000B3D44" w:rsidP="00C845A1">
            <w:pPr>
              <w:pStyle w:val="TableText"/>
              <w:jc w:val="both"/>
              <w:rPr>
                <w:rtl/>
              </w:rPr>
            </w:pPr>
          </w:p>
        </w:tc>
        <w:tc>
          <w:tcPr>
            <w:tcW w:w="624" w:type="dxa"/>
          </w:tcPr>
          <w:p w:rsidR="000B3D44" w:rsidRPr="005B20A5" w:rsidRDefault="000B3D44" w:rsidP="00B73461">
            <w:pPr>
              <w:pStyle w:val="TableText"/>
              <w:jc w:val="both"/>
              <w:rPr>
                <w:rtl/>
              </w:rPr>
            </w:pPr>
          </w:p>
        </w:tc>
        <w:tc>
          <w:tcPr>
            <w:tcW w:w="6521" w:type="dxa"/>
            <w:gridSpan w:val="5"/>
          </w:tcPr>
          <w:p w:rsidR="000B3D44" w:rsidRPr="000B3D44" w:rsidRDefault="000B3D44" w:rsidP="00C845A1">
            <w:pPr>
              <w:pStyle w:val="TableBlock"/>
              <w:rPr>
                <w:rtl/>
              </w:rPr>
            </w:pPr>
            <w:r w:rsidRPr="006F2C65">
              <w:rPr>
                <w:rtl/>
              </w:rPr>
              <w:t xml:space="preserve">(37) </w:t>
            </w:r>
            <w:r w:rsidRPr="006F2C65">
              <w:rPr>
                <w:rFonts w:hint="eastAsia"/>
                <w:rtl/>
              </w:rPr>
              <w:t>על</w:t>
            </w:r>
            <w:r w:rsidRPr="006F2C65">
              <w:rPr>
                <w:rtl/>
              </w:rPr>
              <w:t xml:space="preserve"> </w:t>
            </w:r>
            <w:r w:rsidRPr="006F2C65">
              <w:rPr>
                <w:rFonts w:hint="eastAsia"/>
                <w:rtl/>
              </w:rPr>
              <w:t>אף</w:t>
            </w:r>
            <w:r w:rsidRPr="006F2C65">
              <w:rPr>
                <w:rtl/>
              </w:rPr>
              <w:t xml:space="preserve"> </w:t>
            </w:r>
            <w:r w:rsidRPr="006F2C65">
              <w:rPr>
                <w:rFonts w:hint="eastAsia"/>
                <w:rtl/>
              </w:rPr>
              <w:t>האמור</w:t>
            </w:r>
            <w:r w:rsidRPr="006F2C65">
              <w:rPr>
                <w:rtl/>
              </w:rPr>
              <w:t xml:space="preserve"> </w:t>
            </w:r>
            <w:r w:rsidRPr="006F2C65">
              <w:rPr>
                <w:rFonts w:hint="eastAsia"/>
                <w:rtl/>
              </w:rPr>
              <w:t>בתקנה</w:t>
            </w:r>
            <w:r w:rsidRPr="006F2C65">
              <w:rPr>
                <w:rtl/>
              </w:rPr>
              <w:t xml:space="preserve"> 5, </w:t>
            </w:r>
            <w:r w:rsidRPr="006F2C65">
              <w:rPr>
                <w:rFonts w:hint="eastAsia"/>
                <w:rtl/>
              </w:rPr>
              <w:t>התקשרות</w:t>
            </w:r>
            <w:r w:rsidRPr="006F2C65">
              <w:rPr>
                <w:rtl/>
              </w:rPr>
              <w:t xml:space="preserve"> </w:t>
            </w:r>
            <w:r w:rsidRPr="006F2C65">
              <w:rPr>
                <w:rFonts w:hint="eastAsia"/>
                <w:rtl/>
              </w:rPr>
              <w:t>מנהלת</w:t>
            </w:r>
            <w:r w:rsidRPr="006F2C65">
              <w:rPr>
                <w:rtl/>
              </w:rPr>
              <w:t xml:space="preserve"> </w:t>
            </w:r>
            <w:r w:rsidRPr="006F2C65">
              <w:rPr>
                <w:rFonts w:hint="eastAsia"/>
                <w:rtl/>
              </w:rPr>
              <w:t>תקומה</w:t>
            </w:r>
            <w:r w:rsidRPr="006F2C65">
              <w:rPr>
                <w:rtl/>
              </w:rPr>
              <w:t xml:space="preserve"> </w:t>
            </w:r>
            <w:r w:rsidRPr="006F2C65">
              <w:rPr>
                <w:rFonts w:hint="eastAsia"/>
                <w:rtl/>
              </w:rPr>
              <w:t>לביצוע</w:t>
            </w:r>
            <w:r w:rsidRPr="006F2C65">
              <w:rPr>
                <w:rtl/>
              </w:rPr>
              <w:t xml:space="preserve"> </w:t>
            </w:r>
            <w:r w:rsidRPr="006F2C65">
              <w:rPr>
                <w:rFonts w:hint="eastAsia"/>
                <w:rtl/>
              </w:rPr>
              <w:t>או</w:t>
            </w:r>
            <w:r w:rsidRPr="006F2C65">
              <w:rPr>
                <w:rtl/>
              </w:rPr>
              <w:t xml:space="preserve"> </w:t>
            </w:r>
            <w:r w:rsidRPr="006F2C65">
              <w:rPr>
                <w:rFonts w:hint="eastAsia"/>
                <w:rtl/>
              </w:rPr>
              <w:t>לרכישת</w:t>
            </w:r>
            <w:r w:rsidRPr="006F2C65">
              <w:rPr>
                <w:rtl/>
              </w:rPr>
              <w:t xml:space="preserve"> </w:t>
            </w:r>
            <w:r w:rsidRPr="006F2C65">
              <w:rPr>
                <w:rFonts w:hint="eastAsia"/>
                <w:rtl/>
              </w:rPr>
              <w:t>שירותים</w:t>
            </w:r>
            <w:r w:rsidRPr="006F2C65">
              <w:rPr>
                <w:rtl/>
              </w:rPr>
              <w:t xml:space="preserve"> </w:t>
            </w:r>
            <w:r w:rsidRPr="006F2C65">
              <w:rPr>
                <w:rFonts w:hint="eastAsia"/>
                <w:rtl/>
              </w:rPr>
              <w:t>בעניינים</w:t>
            </w:r>
            <w:r w:rsidRPr="006F2C65">
              <w:rPr>
                <w:rtl/>
              </w:rPr>
              <w:t xml:space="preserve"> </w:t>
            </w:r>
            <w:r w:rsidRPr="006F2C65">
              <w:rPr>
                <w:rFonts w:hint="eastAsia"/>
                <w:rtl/>
              </w:rPr>
              <w:t>האמורים</w:t>
            </w:r>
            <w:r w:rsidRPr="006F2C65">
              <w:rPr>
                <w:rtl/>
              </w:rPr>
              <w:t xml:space="preserve"> </w:t>
            </w:r>
            <w:r w:rsidRPr="006F2C65">
              <w:rPr>
                <w:rFonts w:hint="eastAsia"/>
                <w:rtl/>
              </w:rPr>
              <w:t>בתקנה</w:t>
            </w:r>
            <w:r w:rsidRPr="006F2C65">
              <w:rPr>
                <w:rtl/>
              </w:rPr>
              <w:t xml:space="preserve"> 5(א)(2), </w:t>
            </w:r>
            <w:r w:rsidRPr="006F2C65">
              <w:rPr>
                <w:rFonts w:hint="eastAsia"/>
                <w:rtl/>
              </w:rPr>
              <w:t>למעט</w:t>
            </w:r>
            <w:r w:rsidRPr="006F2C65">
              <w:rPr>
                <w:rtl/>
              </w:rPr>
              <w:t xml:space="preserve"> </w:t>
            </w:r>
            <w:r w:rsidRPr="006F2C65">
              <w:rPr>
                <w:rFonts w:hint="eastAsia"/>
                <w:rtl/>
              </w:rPr>
              <w:t>עריכת</w:t>
            </w:r>
            <w:r w:rsidRPr="006F2C65">
              <w:rPr>
                <w:rtl/>
              </w:rPr>
              <w:t xml:space="preserve"> </w:t>
            </w:r>
            <w:r w:rsidRPr="006F2C65">
              <w:rPr>
                <w:rFonts w:hint="eastAsia"/>
                <w:rtl/>
              </w:rPr>
              <w:t>דין</w:t>
            </w:r>
            <w:r w:rsidRPr="006F2C65">
              <w:rPr>
                <w:rtl/>
              </w:rPr>
              <w:t xml:space="preserve">, </w:t>
            </w:r>
            <w:r w:rsidRPr="006F2C65">
              <w:rPr>
                <w:rFonts w:hint="eastAsia"/>
                <w:rtl/>
              </w:rPr>
              <w:t>ראיית</w:t>
            </w:r>
            <w:r w:rsidRPr="006F2C65">
              <w:rPr>
                <w:rtl/>
              </w:rPr>
              <w:t xml:space="preserve"> </w:t>
            </w:r>
            <w:r w:rsidRPr="006F2C65">
              <w:rPr>
                <w:rFonts w:hint="eastAsia"/>
                <w:rtl/>
              </w:rPr>
              <w:t>חשבון</w:t>
            </w:r>
            <w:r w:rsidRPr="006F2C65">
              <w:rPr>
                <w:rtl/>
              </w:rPr>
              <w:t xml:space="preserve">, </w:t>
            </w:r>
            <w:r w:rsidRPr="006F2C65">
              <w:rPr>
                <w:rFonts w:hint="eastAsia"/>
                <w:rtl/>
              </w:rPr>
              <w:t>בוררות</w:t>
            </w:r>
            <w:r w:rsidRPr="006F2C65">
              <w:rPr>
                <w:rtl/>
              </w:rPr>
              <w:t xml:space="preserve">, </w:t>
            </w:r>
            <w:r w:rsidRPr="006F2C65">
              <w:rPr>
                <w:rFonts w:hint="eastAsia"/>
                <w:rtl/>
              </w:rPr>
              <w:t>ביצוע</w:t>
            </w:r>
            <w:r w:rsidRPr="006F2C65">
              <w:rPr>
                <w:rtl/>
              </w:rPr>
              <w:t xml:space="preserve"> </w:t>
            </w:r>
            <w:r w:rsidRPr="006F2C65">
              <w:rPr>
                <w:rFonts w:hint="eastAsia"/>
                <w:rtl/>
              </w:rPr>
              <w:t>מחקר</w:t>
            </w:r>
            <w:r w:rsidRPr="006F2C65">
              <w:rPr>
                <w:rtl/>
              </w:rPr>
              <w:t xml:space="preserve"> </w:t>
            </w:r>
            <w:r w:rsidRPr="006F2C65">
              <w:rPr>
                <w:rFonts w:hint="eastAsia"/>
                <w:rtl/>
              </w:rPr>
              <w:t>וייעוץ</w:t>
            </w:r>
            <w:r w:rsidRPr="006F2C65">
              <w:rPr>
                <w:rtl/>
              </w:rPr>
              <w:t xml:space="preserve"> </w:t>
            </w:r>
            <w:r w:rsidRPr="006F2C65">
              <w:rPr>
                <w:rFonts w:hint="eastAsia"/>
                <w:rtl/>
              </w:rPr>
              <w:t>תקשורת</w:t>
            </w:r>
            <w:r w:rsidRPr="006F2C65">
              <w:rPr>
                <w:rtl/>
              </w:rPr>
              <w:t xml:space="preserve">, </w:t>
            </w:r>
            <w:r w:rsidRPr="006F2C65">
              <w:rPr>
                <w:rFonts w:hint="eastAsia"/>
                <w:rtl/>
              </w:rPr>
              <w:t>ובלבד</w:t>
            </w:r>
            <w:r w:rsidRPr="006F2C65">
              <w:rPr>
                <w:rtl/>
              </w:rPr>
              <w:t xml:space="preserve"> </w:t>
            </w:r>
            <w:r w:rsidRPr="006F2C65">
              <w:rPr>
                <w:rFonts w:hint="eastAsia"/>
                <w:rtl/>
              </w:rPr>
              <w:t>שההתקשרות</w:t>
            </w:r>
            <w:r w:rsidRPr="006F2C65">
              <w:rPr>
                <w:rtl/>
              </w:rPr>
              <w:t xml:space="preserve"> </w:t>
            </w:r>
            <w:r w:rsidRPr="006F2C65">
              <w:rPr>
                <w:rFonts w:hint="eastAsia"/>
                <w:rtl/>
              </w:rPr>
              <w:t>אושרה</w:t>
            </w:r>
            <w:r w:rsidRPr="006F2C65">
              <w:rPr>
                <w:rtl/>
              </w:rPr>
              <w:t xml:space="preserve"> </w:t>
            </w:r>
            <w:r w:rsidRPr="006F2C65">
              <w:rPr>
                <w:rFonts w:hint="eastAsia"/>
                <w:rtl/>
              </w:rPr>
              <w:t>בידי</w:t>
            </w:r>
            <w:r w:rsidRPr="006F2C65">
              <w:rPr>
                <w:rtl/>
              </w:rPr>
              <w:t xml:space="preserve"> </w:t>
            </w:r>
            <w:r w:rsidRPr="006F2C65">
              <w:rPr>
                <w:rFonts w:hint="eastAsia"/>
                <w:rtl/>
              </w:rPr>
              <w:t>ועדת</w:t>
            </w:r>
            <w:r w:rsidRPr="006F2C65">
              <w:rPr>
                <w:rtl/>
              </w:rPr>
              <w:t xml:space="preserve"> </w:t>
            </w:r>
            <w:r w:rsidRPr="006F2C65">
              <w:rPr>
                <w:rFonts w:hint="eastAsia"/>
                <w:rtl/>
              </w:rPr>
              <w:t>הפטור</w:t>
            </w:r>
            <w:r w:rsidRPr="006F2C65">
              <w:rPr>
                <w:rtl/>
              </w:rPr>
              <w:t xml:space="preserve"> </w:t>
            </w:r>
            <w:r w:rsidRPr="006F2C65">
              <w:rPr>
                <w:rFonts w:hint="eastAsia"/>
                <w:rtl/>
              </w:rPr>
              <w:t>המשרדית</w:t>
            </w:r>
            <w:r w:rsidRPr="006F2C65">
              <w:rPr>
                <w:rtl/>
              </w:rPr>
              <w:t xml:space="preserve">, </w:t>
            </w:r>
            <w:r w:rsidRPr="006F2C65">
              <w:rPr>
                <w:rFonts w:hint="eastAsia"/>
                <w:rtl/>
              </w:rPr>
              <w:t>ששווי</w:t>
            </w:r>
            <w:r w:rsidRPr="006F2C65">
              <w:rPr>
                <w:rtl/>
              </w:rPr>
              <w:t xml:space="preserve"> </w:t>
            </w:r>
            <w:r w:rsidRPr="006F2C65">
              <w:rPr>
                <w:rFonts w:hint="eastAsia"/>
                <w:rtl/>
              </w:rPr>
              <w:t>ההתקשרות</w:t>
            </w:r>
            <w:r w:rsidRPr="006F2C65">
              <w:rPr>
                <w:rtl/>
              </w:rPr>
              <w:t xml:space="preserve"> המצטבר, </w:t>
            </w:r>
            <w:r w:rsidRPr="006F2C65">
              <w:rPr>
                <w:rFonts w:hint="eastAsia"/>
                <w:rtl/>
              </w:rPr>
              <w:t>לרבות</w:t>
            </w:r>
            <w:r w:rsidRPr="006F2C65">
              <w:rPr>
                <w:rtl/>
              </w:rPr>
              <w:t xml:space="preserve"> </w:t>
            </w:r>
            <w:r w:rsidRPr="006F2C65">
              <w:rPr>
                <w:rFonts w:hint="eastAsia"/>
                <w:rtl/>
              </w:rPr>
              <w:t>התקשרויות</w:t>
            </w:r>
            <w:r w:rsidRPr="006F2C65">
              <w:rPr>
                <w:rtl/>
              </w:rPr>
              <w:t xml:space="preserve"> </w:t>
            </w:r>
            <w:r w:rsidRPr="006F2C65">
              <w:rPr>
                <w:rFonts w:hint="eastAsia"/>
                <w:rtl/>
              </w:rPr>
              <w:t>ההמשך</w:t>
            </w:r>
            <w:r w:rsidRPr="006F2C65">
              <w:rPr>
                <w:rtl/>
              </w:rPr>
              <w:t xml:space="preserve"> כהגדרתן בפסקה (4), </w:t>
            </w:r>
            <w:r w:rsidRPr="006F2C65">
              <w:rPr>
                <w:rFonts w:hint="eastAsia"/>
                <w:rtl/>
              </w:rPr>
              <w:t>אינו</w:t>
            </w:r>
            <w:r w:rsidRPr="006F2C65">
              <w:rPr>
                <w:rtl/>
              </w:rPr>
              <w:t xml:space="preserve"> </w:t>
            </w:r>
            <w:r w:rsidRPr="006F2C65">
              <w:rPr>
                <w:rFonts w:hint="eastAsia"/>
                <w:rtl/>
              </w:rPr>
              <w:t>עולה</w:t>
            </w:r>
            <w:r w:rsidRPr="006F2C65">
              <w:rPr>
                <w:rtl/>
              </w:rPr>
              <w:t xml:space="preserve"> </w:t>
            </w:r>
            <w:r w:rsidRPr="006F2C65">
              <w:rPr>
                <w:rFonts w:hint="eastAsia"/>
                <w:rtl/>
              </w:rPr>
              <w:t>על</w:t>
            </w:r>
            <w:r w:rsidRPr="006F2C65">
              <w:rPr>
                <w:rtl/>
              </w:rPr>
              <w:t xml:space="preserve"> </w:t>
            </w:r>
            <w:r w:rsidRPr="006F2C65">
              <w:rPr>
                <w:rFonts w:hint="eastAsia"/>
                <w:rtl/>
              </w:rPr>
              <w:t>מיליון</w:t>
            </w:r>
            <w:r w:rsidRPr="006F2C65">
              <w:rPr>
                <w:rtl/>
              </w:rPr>
              <w:t xml:space="preserve"> </w:t>
            </w:r>
            <w:r w:rsidRPr="006F2C65">
              <w:rPr>
                <w:rFonts w:hint="eastAsia"/>
                <w:rtl/>
              </w:rPr>
              <w:t>שקלים</w:t>
            </w:r>
            <w:r w:rsidRPr="006F2C65">
              <w:rPr>
                <w:rtl/>
              </w:rPr>
              <w:t xml:space="preserve"> </w:t>
            </w:r>
            <w:r w:rsidRPr="006F2C65">
              <w:rPr>
                <w:rFonts w:hint="eastAsia"/>
                <w:rtl/>
              </w:rPr>
              <w:t>חדשים</w:t>
            </w:r>
            <w:r w:rsidRPr="006F2C65">
              <w:rPr>
                <w:rtl/>
              </w:rPr>
              <w:t xml:space="preserve"> ושתקופת ההתקשרות לא תעלה על שנה; </w:t>
            </w:r>
            <w:r w:rsidRPr="006F2C65">
              <w:rPr>
                <w:rFonts w:hint="eastAsia"/>
                <w:rtl/>
              </w:rPr>
              <w:t>ועדת</w:t>
            </w:r>
            <w:r w:rsidRPr="006F2C65">
              <w:rPr>
                <w:rtl/>
              </w:rPr>
              <w:t xml:space="preserve"> </w:t>
            </w:r>
            <w:r w:rsidRPr="006F2C65">
              <w:rPr>
                <w:rFonts w:hint="eastAsia"/>
                <w:rtl/>
              </w:rPr>
              <w:t>הפטור</w:t>
            </w:r>
            <w:r w:rsidRPr="006F2C65">
              <w:rPr>
                <w:rtl/>
              </w:rPr>
              <w:t xml:space="preserve"> </w:t>
            </w:r>
            <w:r w:rsidRPr="006F2C65">
              <w:rPr>
                <w:rFonts w:hint="eastAsia"/>
                <w:rtl/>
              </w:rPr>
              <w:t>המשרדית</w:t>
            </w:r>
            <w:r w:rsidRPr="006F2C65">
              <w:rPr>
                <w:rtl/>
              </w:rPr>
              <w:t xml:space="preserve"> </w:t>
            </w:r>
            <w:r w:rsidRPr="006F2C65">
              <w:rPr>
                <w:rFonts w:hint="eastAsia"/>
                <w:rtl/>
              </w:rPr>
              <w:t>תדווח</w:t>
            </w:r>
            <w:r w:rsidRPr="006F2C65">
              <w:rPr>
                <w:rtl/>
              </w:rPr>
              <w:t xml:space="preserve"> </w:t>
            </w:r>
            <w:r w:rsidRPr="006F2C65">
              <w:rPr>
                <w:rFonts w:hint="eastAsia"/>
                <w:rtl/>
              </w:rPr>
              <w:t>לוועדת</w:t>
            </w:r>
            <w:r w:rsidRPr="006F2C65">
              <w:rPr>
                <w:rtl/>
              </w:rPr>
              <w:t xml:space="preserve"> </w:t>
            </w:r>
            <w:r w:rsidRPr="006F2C65">
              <w:rPr>
                <w:rFonts w:hint="eastAsia"/>
                <w:rtl/>
              </w:rPr>
              <w:t>הפטור</w:t>
            </w:r>
            <w:r w:rsidRPr="006F2C65">
              <w:rPr>
                <w:rtl/>
              </w:rPr>
              <w:t xml:space="preserve"> </w:t>
            </w:r>
            <w:r w:rsidRPr="006F2C65">
              <w:rPr>
                <w:rFonts w:hint="eastAsia"/>
                <w:rtl/>
              </w:rPr>
              <w:t>על</w:t>
            </w:r>
            <w:r w:rsidRPr="006F2C65">
              <w:rPr>
                <w:rtl/>
              </w:rPr>
              <w:t xml:space="preserve"> </w:t>
            </w:r>
            <w:r w:rsidRPr="006F2C65">
              <w:rPr>
                <w:rFonts w:hint="eastAsia"/>
                <w:rtl/>
              </w:rPr>
              <w:t>החלטותיה</w:t>
            </w:r>
            <w:r w:rsidRPr="006F2C65">
              <w:rPr>
                <w:rtl/>
              </w:rPr>
              <w:t xml:space="preserve"> </w:t>
            </w:r>
            <w:r w:rsidRPr="006F2C65">
              <w:rPr>
                <w:rFonts w:hint="eastAsia"/>
                <w:rtl/>
              </w:rPr>
              <w:t>לאשר</w:t>
            </w:r>
            <w:r w:rsidRPr="006F2C65">
              <w:rPr>
                <w:rtl/>
              </w:rPr>
              <w:t xml:space="preserve"> </w:t>
            </w:r>
            <w:r w:rsidRPr="006F2C65">
              <w:rPr>
                <w:rFonts w:hint="eastAsia"/>
                <w:rtl/>
              </w:rPr>
              <w:t>התקשרויות</w:t>
            </w:r>
            <w:r w:rsidRPr="006F2C65">
              <w:rPr>
                <w:rtl/>
              </w:rPr>
              <w:t xml:space="preserve"> </w:t>
            </w:r>
            <w:r w:rsidRPr="006F2C65">
              <w:rPr>
                <w:rFonts w:hint="eastAsia"/>
                <w:rtl/>
              </w:rPr>
              <w:t>לפי</w:t>
            </w:r>
            <w:r w:rsidRPr="006F2C65">
              <w:rPr>
                <w:rtl/>
              </w:rPr>
              <w:t xml:space="preserve"> </w:t>
            </w:r>
            <w:r w:rsidRPr="006F2C65">
              <w:rPr>
                <w:rFonts w:hint="eastAsia"/>
                <w:rtl/>
              </w:rPr>
              <w:t>פסקה</w:t>
            </w:r>
            <w:r w:rsidRPr="006F2C65">
              <w:rPr>
                <w:rtl/>
              </w:rPr>
              <w:t xml:space="preserve"> </w:t>
            </w:r>
            <w:r w:rsidRPr="006F2C65">
              <w:rPr>
                <w:rFonts w:hint="eastAsia"/>
                <w:rtl/>
              </w:rPr>
              <w:t>זו</w:t>
            </w:r>
            <w:r w:rsidRPr="006F2C65">
              <w:rPr>
                <w:rtl/>
              </w:rPr>
              <w:t xml:space="preserve"> תוך חמישה ימי עבודה מקבלת </w:t>
            </w:r>
            <w:r w:rsidRPr="006F2C65">
              <w:rPr>
                <w:rFonts w:hint="eastAsia"/>
                <w:rtl/>
              </w:rPr>
              <w:t>ההחלטה</w:t>
            </w:r>
            <w:r w:rsidRPr="006F2C65">
              <w:rPr>
                <w:rtl/>
              </w:rPr>
              <w:t>.".</w:t>
            </w:r>
          </w:p>
        </w:tc>
      </w:tr>
    </w:tbl>
    <w:p w:rsidR="008C75D9" w:rsidRDefault="008C75D9" w:rsidP="005F7BCA"/>
    <w:p w:rsidR="008C75D9" w:rsidRDefault="008C75D9" w:rsidP="005F7BCA">
      <w:pPr>
        <w:rPr>
          <w:rtl/>
        </w:rPr>
      </w:pPr>
    </w:p>
    <w:p w:rsidR="008C75D9" w:rsidRDefault="008C75D9" w:rsidP="005F7BCA">
      <w:pPr>
        <w:rPr>
          <w:rFonts w:eastAsia="Calibri"/>
          <w:rtl/>
        </w:rPr>
      </w:pPr>
      <w:r>
        <w:rPr>
          <w:rFonts w:eastAsia="Calibri" w:hint="cs"/>
          <w:rtl/>
        </w:rPr>
        <w:t>___ ב________ ה</w:t>
      </w:r>
      <w:r w:rsidR="006B64AB">
        <w:rPr>
          <w:rFonts w:eastAsia="Calibri" w:hint="cs"/>
          <w:rtl/>
        </w:rPr>
        <w:t>תש_______ (___ ב________ ____20</w:t>
      </w:r>
    </w:p>
    <w:p w:rsidR="008C75D9" w:rsidRDefault="008C75D9" w:rsidP="005F7BCA">
      <w:pPr>
        <w:rPr>
          <w:rFonts w:eastAsia="Calibri"/>
          <w:rtl/>
        </w:rPr>
      </w:pPr>
      <w:r>
        <w:rPr>
          <w:rFonts w:eastAsia="Calibri" w:hint="cs"/>
          <w:rtl/>
        </w:rPr>
        <w:t>[תאריך עברי] ([תאריך לועזי])</w:t>
      </w:r>
    </w:p>
    <w:p w:rsidR="008C75D9" w:rsidRDefault="008C75D9" w:rsidP="005F7BCA">
      <w:pPr>
        <w:rPr>
          <w:rtl/>
        </w:rPr>
      </w:pPr>
      <w:r>
        <w:rPr>
          <w:rFonts w:hint="cs"/>
          <w:rtl/>
        </w:rPr>
        <w:t>(חמ _____-3)</w:t>
      </w:r>
    </w:p>
    <w:p w:rsidR="008C75D9" w:rsidRDefault="008C75D9" w:rsidP="005F7BCA">
      <w:pPr>
        <w:rPr>
          <w:rtl/>
        </w:rPr>
      </w:pPr>
    </w:p>
    <w:p w:rsidR="008C75D9" w:rsidRDefault="002F6F50" w:rsidP="005F7BCA">
      <w:pPr>
        <w:ind w:left="5760"/>
        <w:jc w:val="center"/>
        <w:rPr>
          <w:rtl/>
        </w:rPr>
      </w:pPr>
      <w:r>
        <w:rPr>
          <w:rFonts w:hint="cs"/>
          <w:rtl/>
        </w:rPr>
        <w:t>__________________</w:t>
      </w:r>
    </w:p>
    <w:p w:rsidR="008C75D9" w:rsidRDefault="002F6F50" w:rsidP="002F6F50">
      <w:pPr>
        <w:ind w:left="5760"/>
        <w:jc w:val="center"/>
        <w:rPr>
          <w:rtl/>
        </w:rPr>
      </w:pPr>
      <w:r>
        <w:rPr>
          <w:rFonts w:hint="cs"/>
          <w:rtl/>
        </w:rPr>
        <w:t>בצלאל סמוטריץ'</w:t>
      </w:r>
    </w:p>
    <w:p w:rsidR="008C75D9" w:rsidRDefault="002F6F50" w:rsidP="002F6F50">
      <w:pPr>
        <w:ind w:left="5760"/>
        <w:jc w:val="center"/>
        <w:rPr>
          <w:rtl/>
        </w:rPr>
      </w:pPr>
      <w:r>
        <w:rPr>
          <w:rFonts w:hint="cs"/>
          <w:rtl/>
        </w:rPr>
        <w:t>שר האוצר</w:t>
      </w:r>
    </w:p>
    <w:p w:rsidR="00F26592" w:rsidRPr="00884896" w:rsidRDefault="00F26592">
      <w:pPr>
        <w:widowControl/>
        <w:bidi w:val="0"/>
        <w:spacing w:before="200" w:after="200" w:line="276" w:lineRule="auto"/>
        <w:ind w:left="0"/>
        <w:contextualSpacing w:val="0"/>
        <w:jc w:val="left"/>
        <w:rPr>
          <w:rFonts w:asciiTheme="minorHAnsi" w:hAnsiTheme="minorHAnsi"/>
        </w:rPr>
      </w:pPr>
      <w:r>
        <w:rPr>
          <w:rtl/>
        </w:rPr>
        <w:br w:type="page"/>
      </w:r>
    </w:p>
    <w:p w:rsidR="008C75D9" w:rsidRDefault="008C75D9" w:rsidP="005F7BCA">
      <w:pPr>
        <w:rPr>
          <w:rtl/>
        </w:rPr>
      </w:pPr>
    </w:p>
    <w:p w:rsidR="008C75D9" w:rsidRDefault="008C75D9" w:rsidP="005F7BCA">
      <w:pPr>
        <w:pStyle w:val="HeadDivreiHesber"/>
        <w:rPr>
          <w:rtl/>
        </w:rPr>
      </w:pPr>
      <w:bookmarkStart w:id="7" w:name="_Toc150339036"/>
      <w:bookmarkStart w:id="8" w:name="_Toc150339050"/>
      <w:r>
        <w:rPr>
          <w:rtl/>
        </w:rPr>
        <w:t>דברי הסבר</w:t>
      </w:r>
      <w:bookmarkEnd w:id="7"/>
      <w:bookmarkEnd w:id="8"/>
    </w:p>
    <w:p w:rsidR="008C75D9" w:rsidRDefault="008C75D9" w:rsidP="005F7BCA">
      <w:pPr>
        <w:pStyle w:val="Hesber1st"/>
        <w:tabs>
          <w:tab w:val="clear" w:pos="680"/>
        </w:tabs>
        <w:rPr>
          <w:rtl/>
        </w:rPr>
      </w:pPr>
    </w:p>
    <w:p w:rsidR="00BA58B6" w:rsidRDefault="00BA58B6" w:rsidP="00BA58B6">
      <w:pPr>
        <w:rPr>
          <w:rtl/>
        </w:rPr>
      </w:pPr>
      <w:r>
        <w:rPr>
          <w:rFonts w:hint="cs"/>
          <w:rtl/>
        </w:rPr>
        <w:t>לנוכח מתקפת הטרור הרצחנית שהתרחשה ביום 7 באוקטובר 2023, הכריז שר הביטחון באותו היום על מצב מיוחד בעורף, מכוח סמכותו לפי סעיף 9ג(ב)(1) לחוק ההתגוננות האזרחית, התשי"א-1951. בהתאם לסעיף 9ג(א)(5) לאותו חוק, החליטה ועדת החוץ והביטחון של הכנסת, ביום 12 באוקטובר 2023, לאשר את ההכרזה בשטחה של כל מדינת ישראל. הכרזה זו מוארכת מזמן לזמן. כמו כן, הוכרז בצבא הגנה לישראל על מבצע "חרבות ברזל", וועדת השרים לענייני ביטחון לאומי החליטה על נקיטת פעולות צבאיות משמעותיות, בהתאם לסעיף 40 לחוק יסוד: הממשלה.</w:t>
      </w:r>
    </w:p>
    <w:p w:rsidR="00BA58B6" w:rsidRDefault="00BA58B6" w:rsidP="00BA58B6">
      <w:pPr>
        <w:rPr>
          <w:rtl/>
        </w:rPr>
      </w:pPr>
      <w:r>
        <w:rPr>
          <w:rFonts w:hint="cs"/>
          <w:rtl/>
        </w:rPr>
        <w:t>נוכח האמור</w:t>
      </w:r>
      <w:r>
        <w:rPr>
          <w:rtl/>
        </w:rPr>
        <w:t>, ובמקביל למענים המידיים הניתנים על ידי משרדי הממשלה והגופים הממשלתיים הרלוונטיים במטרה לשקם, להצמיח ולפעול לפיתוח כלכלי-חברתי של חבל התקומה (אזור עוטף עזה) ואוכלוסייתו</w:t>
      </w:r>
      <w:r>
        <w:rPr>
          <w:rFonts w:hint="cs"/>
          <w:rtl/>
        </w:rPr>
        <w:t xml:space="preserve">, החליטה הממשלה ביום 19 באוקטובר 2023, במסגרת החלטה מספר 980 (חכ/6) שעניינה </w:t>
      </w:r>
      <w:r w:rsidRPr="00276741">
        <w:rPr>
          <w:rtl/>
        </w:rPr>
        <w:t>הקמת מנהלת לשיקום ולפיתוח חבל 'התקומה' ואוכלוסייתו</w:t>
      </w:r>
      <w:r>
        <w:rPr>
          <w:rFonts w:hint="cs"/>
          <w:rtl/>
        </w:rPr>
        <w:t xml:space="preserve"> (</w:t>
      </w:r>
      <w:r w:rsidRPr="008763F7">
        <w:rPr>
          <w:rFonts w:hint="cs"/>
          <w:rtl/>
        </w:rPr>
        <w:t xml:space="preserve">להלן </w:t>
      </w:r>
      <w:r w:rsidRPr="008763F7">
        <w:rPr>
          <w:rtl/>
        </w:rPr>
        <w:t>–</w:t>
      </w:r>
      <w:r w:rsidRPr="008763F7">
        <w:rPr>
          <w:rFonts w:hint="cs"/>
          <w:rtl/>
        </w:rPr>
        <w:t xml:space="preserve"> </w:t>
      </w:r>
      <w:r w:rsidRPr="00914AC1">
        <w:rPr>
          <w:rFonts w:hint="eastAsia"/>
          <w:rtl/>
        </w:rPr>
        <w:t>החלטת</w:t>
      </w:r>
      <w:r w:rsidRPr="00914AC1">
        <w:rPr>
          <w:rtl/>
        </w:rPr>
        <w:t xml:space="preserve"> </w:t>
      </w:r>
      <w:r w:rsidRPr="00914AC1">
        <w:rPr>
          <w:rFonts w:hint="eastAsia"/>
          <w:rtl/>
        </w:rPr>
        <w:t>הממשלה</w:t>
      </w:r>
      <w:r>
        <w:rPr>
          <w:rFonts w:hint="cs"/>
          <w:rtl/>
        </w:rPr>
        <w:t xml:space="preserve">), </w:t>
      </w:r>
      <w:r>
        <w:rPr>
          <w:rtl/>
        </w:rPr>
        <w:t xml:space="preserve">להקים מנהלת ייעודית, שתישא באחריות ובכלל הסמכויות הנדרשות לצורך ניהול וביצוע פעולות לשיקום ולחיזוק חבל 'התקומה' ואוכלוסייתו באופן מהיר, בטוח ומיטבי בטווח המיידי, הבינוני והארוך (להלן – המנהלת). </w:t>
      </w:r>
    </w:p>
    <w:p w:rsidR="00BA58B6" w:rsidRDefault="00BA58B6" w:rsidP="00BA58B6">
      <w:pPr>
        <w:spacing w:before="240"/>
        <w:rPr>
          <w:rtl/>
        </w:rPr>
      </w:pPr>
      <w:r w:rsidRPr="00276741">
        <w:rPr>
          <w:rtl/>
        </w:rPr>
        <w:t>על מנת לאפשר את תחילת עבודתה של המנהלת באופן מלא ומיידי, כמפורט בהחלט</w:t>
      </w:r>
      <w:r>
        <w:rPr>
          <w:rFonts w:hint="cs"/>
          <w:rtl/>
        </w:rPr>
        <w:t>ת הממשלה</w:t>
      </w:r>
      <w:r w:rsidRPr="00276741">
        <w:rPr>
          <w:rtl/>
        </w:rPr>
        <w:t xml:space="preserve">, </w:t>
      </w:r>
      <w:r>
        <w:rPr>
          <w:rFonts w:hint="cs"/>
          <w:rtl/>
        </w:rPr>
        <w:t xml:space="preserve">הונחו </w:t>
      </w:r>
      <w:r w:rsidRPr="00276741">
        <w:rPr>
          <w:rtl/>
        </w:rPr>
        <w:t>נציב שירות המדינה, החשב הכללי במשרד האוצר, הממונה על התקציבים במשרד האוצר, הממונה על השכר במשרד האוצר והיועצת המשפטית לממשלה לפעול באופן מיידי על מנת להסדיר עבור המנהלת את כל הכלים הנדרשים לצורך פעולתה ובכלל זה: הקצאת תקציב למנהלת בתוכנית תקציב נפרדת וייעודית לפעילות המנהלת, הרשאות חתימה מתאימות לפי חוק נכסי המדינה, התשי"א-1951, מנגנוני התקשרות מהירים והכול בכפוף לדיני מכרזים,</w:t>
      </w:r>
      <w:r w:rsidRPr="003F0F81">
        <w:rPr>
          <w:rFonts w:ascii="Arial" w:hAnsi="Arial" w:cs="Arial"/>
          <w:color w:val="272727"/>
          <w:shd w:val="clear" w:color="auto" w:fill="FFFFFF"/>
          <w:rtl/>
        </w:rPr>
        <w:t xml:space="preserve"> </w:t>
      </w:r>
      <w:r w:rsidRPr="003F0F81">
        <w:rPr>
          <w:rtl/>
        </w:rPr>
        <w:t>הקצאת תקנים למנהלת, קביעת השכר של עובדי המנהלת ורכזי 'תקומה', מבנה ארגוני ומנגנוני גיוס מהירים והכול בהתאם לחוק שירות המדינה (מינויים), התשי"ט-1959</w:t>
      </w:r>
      <w:r>
        <w:rPr>
          <w:rFonts w:hint="cs"/>
          <w:rtl/>
        </w:rPr>
        <w:t xml:space="preserve">. </w:t>
      </w:r>
    </w:p>
    <w:p w:rsidR="00F975CB" w:rsidRDefault="00F975CB" w:rsidP="002D7789">
      <w:pPr>
        <w:rPr>
          <w:rtl/>
        </w:rPr>
      </w:pPr>
    </w:p>
    <w:p w:rsidR="00BA58B6" w:rsidRDefault="00975895" w:rsidP="002D7789">
      <w:pPr>
        <w:rPr>
          <w:i/>
          <w:iCs/>
          <w:rtl/>
        </w:rPr>
      </w:pPr>
      <w:r>
        <w:rPr>
          <w:rFonts w:hint="cs"/>
          <w:b/>
          <w:bCs/>
          <w:u w:val="single"/>
          <w:rtl/>
        </w:rPr>
        <w:t>לתקנה</w:t>
      </w:r>
      <w:r w:rsidR="00BA58B6">
        <w:rPr>
          <w:rFonts w:hint="cs"/>
          <w:b/>
          <w:bCs/>
          <w:u w:val="single"/>
          <w:rtl/>
        </w:rPr>
        <w:t xml:space="preserve"> 1</w:t>
      </w:r>
    </w:p>
    <w:p w:rsidR="00BA58B6" w:rsidRDefault="00BA58B6" w:rsidP="00B73461">
      <w:pPr>
        <w:rPr>
          <w:rtl/>
        </w:rPr>
      </w:pPr>
      <w:r>
        <w:rPr>
          <w:rFonts w:hint="cs"/>
          <w:rtl/>
        </w:rPr>
        <w:t xml:space="preserve">מוצע להוסיף לתקנות הגדרה של </w:t>
      </w:r>
      <w:r w:rsidR="00D32386">
        <w:rPr>
          <w:rFonts w:hint="cs"/>
          <w:rtl/>
        </w:rPr>
        <w:t xml:space="preserve">מנהלת תקומה בהתאם לאמור בהחלטת </w:t>
      </w:r>
      <w:r>
        <w:rPr>
          <w:rFonts w:hint="cs"/>
          <w:rtl/>
        </w:rPr>
        <w:t xml:space="preserve">ממשלה </w:t>
      </w:r>
      <w:r w:rsidR="00D32386">
        <w:rPr>
          <w:rFonts w:hint="cs"/>
          <w:rtl/>
        </w:rPr>
        <w:t xml:space="preserve">מס' 980 מיום 19 באוקטובר 2023, </w:t>
      </w:r>
      <w:r>
        <w:rPr>
          <w:rFonts w:hint="cs"/>
          <w:rtl/>
        </w:rPr>
        <w:t>במסגרתה היא הוקמה</w:t>
      </w:r>
      <w:r w:rsidR="00D32386">
        <w:rPr>
          <w:rFonts w:hint="cs"/>
          <w:rtl/>
        </w:rPr>
        <w:t>, הוגדרו תפקידיה ותחומי אחריותה</w:t>
      </w:r>
      <w:r>
        <w:rPr>
          <w:rFonts w:hint="cs"/>
          <w:rtl/>
        </w:rPr>
        <w:t xml:space="preserve">. </w:t>
      </w:r>
    </w:p>
    <w:p w:rsidR="00975895" w:rsidRPr="00C845A1" w:rsidRDefault="00975895" w:rsidP="00D32386">
      <w:pPr>
        <w:rPr>
          <w:b/>
          <w:bCs/>
          <w:u w:val="single"/>
          <w:rtl/>
        </w:rPr>
      </w:pPr>
      <w:r>
        <w:rPr>
          <w:rFonts w:hint="cs"/>
          <w:b/>
          <w:bCs/>
          <w:u w:val="single"/>
          <w:rtl/>
        </w:rPr>
        <w:t>לתקנה 2</w:t>
      </w:r>
    </w:p>
    <w:p w:rsidR="00AB53B4" w:rsidRPr="003F0F81" w:rsidRDefault="00AB53B4" w:rsidP="00C845A1">
      <w:pPr>
        <w:rPr>
          <w:rFonts w:asciiTheme="minorHAnsi" w:hAnsiTheme="minorHAnsi"/>
          <w:rtl/>
        </w:rPr>
      </w:pPr>
      <w:r>
        <w:rPr>
          <w:rFonts w:hint="cs"/>
          <w:rtl/>
        </w:rPr>
        <w:t>בהתאם להנחיית הממשלה ועל מנת לייעל את הליך ביצוע ההתקשרויות שמבצעת המנהלת לצורך הגשמת מטרותיה, כפי שהוגדרו בהחלטת הממשלה, תוך שמירה על עקרונות השוויון, היעילות הכלכלית והשקיפות, מוצע לתקן, בהוראת שעה לשנה, את תקנות חובת המכרזים, התשנ"ג-1993</w:t>
      </w:r>
      <w:r w:rsidR="00B73461">
        <w:rPr>
          <w:rFonts w:asciiTheme="minorHAnsi" w:hAnsiTheme="minorHAnsi" w:hint="cs"/>
          <w:rtl/>
        </w:rPr>
        <w:t xml:space="preserve"> (להלן </w:t>
      </w:r>
      <w:r w:rsidR="00B73461">
        <w:rPr>
          <w:rFonts w:asciiTheme="minorHAnsi" w:hAnsiTheme="minorHAnsi"/>
          <w:rtl/>
        </w:rPr>
        <w:t>–</w:t>
      </w:r>
      <w:r w:rsidR="00B73461">
        <w:rPr>
          <w:rFonts w:asciiTheme="minorHAnsi" w:hAnsiTheme="minorHAnsi" w:hint="cs"/>
          <w:rtl/>
        </w:rPr>
        <w:t xml:space="preserve"> התקנות העיקריות)</w:t>
      </w:r>
      <w:r>
        <w:rPr>
          <w:rFonts w:asciiTheme="minorHAnsi" w:hAnsiTheme="minorHAnsi" w:hint="cs"/>
          <w:rtl/>
        </w:rPr>
        <w:t>.</w:t>
      </w:r>
    </w:p>
    <w:p w:rsidR="00BA58B6" w:rsidRDefault="00D32386" w:rsidP="005959B3">
      <w:pPr>
        <w:rPr>
          <w:rtl/>
        </w:rPr>
      </w:pPr>
      <w:r>
        <w:rPr>
          <w:rFonts w:hint="cs"/>
          <w:rtl/>
        </w:rPr>
        <w:t xml:space="preserve">פסקה </w:t>
      </w:r>
      <w:r w:rsidR="00B73461">
        <w:rPr>
          <w:rFonts w:hint="cs"/>
          <w:rtl/>
        </w:rPr>
        <w:t>(1)</w:t>
      </w:r>
      <w:r w:rsidR="00975895">
        <w:rPr>
          <w:rFonts w:hint="cs"/>
          <w:rtl/>
        </w:rPr>
        <w:t xml:space="preserve"> </w:t>
      </w:r>
      <w:r w:rsidR="00AB53B4">
        <w:rPr>
          <w:rtl/>
        </w:rPr>
        <w:t>–</w:t>
      </w:r>
      <w:r>
        <w:rPr>
          <w:rFonts w:hint="cs"/>
          <w:rtl/>
        </w:rPr>
        <w:t xml:space="preserve"> </w:t>
      </w:r>
      <w:r w:rsidR="00B543DD">
        <w:rPr>
          <w:rFonts w:hint="cs"/>
          <w:rtl/>
        </w:rPr>
        <w:t>מוצע לתקן את תקנה</w:t>
      </w:r>
      <w:r w:rsidR="00B73461">
        <w:rPr>
          <w:rFonts w:hint="cs"/>
          <w:rtl/>
        </w:rPr>
        <w:t xml:space="preserve"> 3 לתקנות העיקריות</w:t>
      </w:r>
      <w:r w:rsidR="00B543DD">
        <w:rPr>
          <w:rFonts w:hint="cs"/>
          <w:rtl/>
        </w:rPr>
        <w:t xml:space="preserve">  באופן הבא:</w:t>
      </w:r>
    </w:p>
    <w:p w:rsidR="00B543DD" w:rsidRDefault="00B543DD" w:rsidP="00C845A1">
      <w:pPr>
        <w:rPr>
          <w:rtl/>
        </w:rPr>
      </w:pPr>
      <w:r>
        <w:rPr>
          <w:rFonts w:hint="cs"/>
          <w:rtl/>
        </w:rPr>
        <w:t>בפסקה (</w:t>
      </w:r>
      <w:r w:rsidR="00B73461">
        <w:rPr>
          <w:rFonts w:hint="cs"/>
          <w:rtl/>
        </w:rPr>
        <w:t>א</w:t>
      </w:r>
      <w:r>
        <w:rPr>
          <w:rFonts w:hint="cs"/>
          <w:rtl/>
        </w:rPr>
        <w:t xml:space="preserve">) </w:t>
      </w:r>
      <w:r w:rsidR="00B73461">
        <w:rPr>
          <w:rtl/>
        </w:rPr>
        <w:t>–</w:t>
      </w:r>
      <w:r>
        <w:rPr>
          <w:rFonts w:hint="cs"/>
          <w:rtl/>
        </w:rPr>
        <w:t xml:space="preserve"> </w:t>
      </w:r>
      <w:r w:rsidR="00B73461">
        <w:rPr>
          <w:rFonts w:hint="cs"/>
          <w:rtl/>
        </w:rPr>
        <w:t xml:space="preserve">תיקון תקנה 3(1) לתקנות העיקריות - </w:t>
      </w:r>
      <w:r>
        <w:rPr>
          <w:rFonts w:hint="cs"/>
          <w:rtl/>
        </w:rPr>
        <w:t xml:space="preserve">הגדלת הסכום לעריכת התקשרות, שאינה מצריכה אישור ועדת מכרזים, מ </w:t>
      </w:r>
      <w:r>
        <w:rPr>
          <w:rtl/>
        </w:rPr>
        <w:t>–</w:t>
      </w:r>
      <w:r>
        <w:rPr>
          <w:rFonts w:hint="cs"/>
          <w:rtl/>
        </w:rPr>
        <w:t xml:space="preserve"> 50,000 </w:t>
      </w:r>
      <w:r w:rsidR="00C83EA3">
        <w:rPr>
          <w:rFonts w:hint="cs"/>
          <w:rtl/>
        </w:rPr>
        <w:t xml:space="preserve">ש"ח </w:t>
      </w:r>
      <w:r>
        <w:rPr>
          <w:rFonts w:hint="cs"/>
          <w:rtl/>
        </w:rPr>
        <w:t xml:space="preserve">ל </w:t>
      </w:r>
      <w:r>
        <w:rPr>
          <w:rtl/>
        </w:rPr>
        <w:t>–</w:t>
      </w:r>
      <w:r>
        <w:rPr>
          <w:rFonts w:hint="cs"/>
          <w:rtl/>
        </w:rPr>
        <w:t xml:space="preserve"> 100,000 </w:t>
      </w:r>
      <w:r w:rsidR="00C83EA3">
        <w:rPr>
          <w:rFonts w:hint="cs"/>
          <w:rtl/>
        </w:rPr>
        <w:t xml:space="preserve">ש"ח </w:t>
      </w:r>
      <w:r>
        <w:rPr>
          <w:rFonts w:hint="cs"/>
          <w:rtl/>
        </w:rPr>
        <w:t xml:space="preserve">ואת סכום המגבלה על התקשרות כאמור עם מתקשר מסוים בתקופה רצופה של שנים עשר חדשים, בלא מכרז ל  - 400,000 </w:t>
      </w:r>
      <w:r w:rsidR="00C83EA3">
        <w:rPr>
          <w:rFonts w:hint="cs"/>
          <w:rtl/>
        </w:rPr>
        <w:t xml:space="preserve">ש"ח. </w:t>
      </w:r>
      <w:r>
        <w:rPr>
          <w:rFonts w:hint="cs"/>
          <w:rtl/>
        </w:rPr>
        <w:t>תיקון זה מצמצם את הליכי האישור הנדרשים מהמנהלת בביצוע התקשרויות בסכומים נמוכים</w:t>
      </w:r>
      <w:r w:rsidR="008763F7">
        <w:rPr>
          <w:rFonts w:hint="cs"/>
          <w:rtl/>
        </w:rPr>
        <w:t xml:space="preserve"> יחסית</w:t>
      </w:r>
      <w:r>
        <w:rPr>
          <w:rFonts w:hint="cs"/>
          <w:rtl/>
        </w:rPr>
        <w:t>.</w:t>
      </w:r>
    </w:p>
    <w:p w:rsidR="00B543DD" w:rsidRDefault="00B73461" w:rsidP="00C83EA3">
      <w:pPr>
        <w:rPr>
          <w:rtl/>
        </w:rPr>
      </w:pPr>
      <w:r>
        <w:rPr>
          <w:rFonts w:hint="cs"/>
          <w:rtl/>
        </w:rPr>
        <w:t xml:space="preserve">בפסקה (ב) - </w:t>
      </w:r>
      <w:r w:rsidR="00B543DD">
        <w:rPr>
          <w:rFonts w:hint="cs"/>
          <w:rtl/>
        </w:rPr>
        <w:t>הוספת פסקה (1א)</w:t>
      </w:r>
      <w:r>
        <w:rPr>
          <w:rFonts w:hint="cs"/>
          <w:rtl/>
        </w:rPr>
        <w:t xml:space="preserve"> לתקנה 3 תקנות העיקריות</w:t>
      </w:r>
      <w:r w:rsidR="00B543DD">
        <w:rPr>
          <w:rFonts w:hint="cs"/>
          <w:rtl/>
        </w:rPr>
        <w:t xml:space="preserve"> </w:t>
      </w:r>
      <w:r w:rsidR="005E45F1">
        <w:rPr>
          <w:rtl/>
        </w:rPr>
        <w:t>–</w:t>
      </w:r>
      <w:r w:rsidR="00B543DD">
        <w:rPr>
          <w:rFonts w:hint="cs"/>
          <w:rtl/>
        </w:rPr>
        <w:t xml:space="preserve"> </w:t>
      </w:r>
      <w:r w:rsidR="005E45F1">
        <w:rPr>
          <w:rFonts w:hint="cs"/>
          <w:rtl/>
        </w:rPr>
        <w:t xml:space="preserve">בהמשך לתיקון הסכומים בפסקה (1) לעיל, מוצע להוסיף מדרגה נוספת של התקשרויות בהליך מהיר, בה תוכל ועדת המכרזים של המנהלת לאשר התקשרויות ששווין עד 200,000 </w:t>
      </w:r>
      <w:r w:rsidR="00C83EA3">
        <w:rPr>
          <w:rFonts w:hint="cs"/>
          <w:rtl/>
        </w:rPr>
        <w:t>ש"ח. מגבלת הסכום להתקשרות עם מתקשר מסוים בתקופה רצופה של שנים עשר חודשים תחול בהתאם לתיקון המוצע לפסקה (1) גם על התקשרות לפי פסקה זו.</w:t>
      </w:r>
    </w:p>
    <w:p w:rsidR="005E45F1" w:rsidRDefault="00B73461" w:rsidP="005959B3">
      <w:pPr>
        <w:rPr>
          <w:rtl/>
        </w:rPr>
      </w:pPr>
      <w:r>
        <w:rPr>
          <w:rFonts w:hint="cs"/>
          <w:rtl/>
        </w:rPr>
        <w:t xml:space="preserve">בפסקה (ג) - תיקון פסקה </w:t>
      </w:r>
      <w:r w:rsidR="0041444D">
        <w:rPr>
          <w:rFonts w:hint="cs"/>
          <w:rtl/>
        </w:rPr>
        <w:t>(4)(ב)(1)(ב)</w:t>
      </w:r>
      <w:r>
        <w:rPr>
          <w:rFonts w:hint="cs"/>
          <w:rtl/>
        </w:rPr>
        <w:t xml:space="preserve"> לתקנה 3 לתקנות העיקריות</w:t>
      </w:r>
      <w:r w:rsidR="0041444D">
        <w:rPr>
          <w:rFonts w:hint="cs"/>
          <w:rtl/>
        </w:rPr>
        <w:t xml:space="preserve"> </w:t>
      </w:r>
      <w:r w:rsidR="0041444D">
        <w:rPr>
          <w:rtl/>
        </w:rPr>
        <w:t>–</w:t>
      </w:r>
      <w:r w:rsidR="0041444D">
        <w:rPr>
          <w:rFonts w:hint="cs"/>
          <w:rtl/>
        </w:rPr>
        <w:t xml:space="preserve"> מוצע להרחיב את סמכות ועדת הפטור של המנהלת לאשר התקשרויות המשך, בתנאים הקבועים בתקנה 3(4), כך שהוועדה תוכל לאשר התקשרויות המשך עד לסכום של 150,000 </w:t>
      </w:r>
      <w:r w:rsidR="00C83EA3">
        <w:rPr>
          <w:rFonts w:hint="cs"/>
          <w:rtl/>
        </w:rPr>
        <w:t xml:space="preserve">ש"ח </w:t>
      </w:r>
      <w:r w:rsidR="0041444D">
        <w:rPr>
          <w:rFonts w:hint="cs"/>
          <w:rtl/>
        </w:rPr>
        <w:t xml:space="preserve">ואם ההתקשרות הראשונה נעשתה בעקבות מכרז או פניה תחרותית לקבלת הצעות עד לסכום של 300,000 </w:t>
      </w:r>
      <w:r w:rsidR="00C83EA3">
        <w:rPr>
          <w:rFonts w:hint="cs"/>
          <w:rtl/>
        </w:rPr>
        <w:t xml:space="preserve">ש"ח. </w:t>
      </w:r>
    </w:p>
    <w:p w:rsidR="008522BC" w:rsidRDefault="00B73461" w:rsidP="00C83EA3">
      <w:pPr>
        <w:rPr>
          <w:rtl/>
        </w:rPr>
      </w:pPr>
      <w:r>
        <w:rPr>
          <w:rFonts w:hint="cs"/>
          <w:rtl/>
        </w:rPr>
        <w:t xml:space="preserve">בפסקה (ד) - </w:t>
      </w:r>
      <w:r w:rsidR="0041444D">
        <w:rPr>
          <w:rFonts w:hint="cs"/>
          <w:rtl/>
        </w:rPr>
        <w:t xml:space="preserve">הוספת פסקה (35) </w:t>
      </w:r>
      <w:r>
        <w:rPr>
          <w:rFonts w:hint="cs"/>
          <w:rtl/>
        </w:rPr>
        <w:t xml:space="preserve">לתקנה 3 לתקנות העיקריות </w:t>
      </w:r>
      <w:r w:rsidR="0041444D">
        <w:rPr>
          <w:rtl/>
        </w:rPr>
        <w:t>–</w:t>
      </w:r>
      <w:r w:rsidR="0041444D">
        <w:rPr>
          <w:rFonts w:hint="cs"/>
          <w:rtl/>
        </w:rPr>
        <w:t xml:space="preserve"> </w:t>
      </w:r>
      <w:r w:rsidR="002F2A4A">
        <w:rPr>
          <w:rFonts w:hint="cs"/>
          <w:rtl/>
        </w:rPr>
        <w:t xml:space="preserve">על מנת לייעל </w:t>
      </w:r>
      <w:r w:rsidR="008522BC">
        <w:rPr>
          <w:rFonts w:hint="cs"/>
          <w:rtl/>
        </w:rPr>
        <w:t xml:space="preserve">ולפשט את עבודת המנהלת מוצע לאפשר למנהלת להתקשר עם ספק של משרד ממשלתי בהתאם לתנאים המפורטים בתקנה. מוצע לקבוע שלוש דרגות של אישורים להתקשרויות כאמור </w:t>
      </w:r>
      <w:r w:rsidR="005E7E87">
        <w:rPr>
          <w:rFonts w:hint="cs"/>
          <w:rtl/>
        </w:rPr>
        <w:t xml:space="preserve">- ועדת המכרזים של המנהלת, ועדת הפטור של המנהלת והחשב הכללי או מי שהוא הסמיך לכך. </w:t>
      </w:r>
      <w:r w:rsidR="008522BC">
        <w:rPr>
          <w:rFonts w:hint="cs"/>
          <w:rtl/>
        </w:rPr>
        <w:t xml:space="preserve">זאת על מנת להבטיח מחד חופש פעולה ויעילות בפעילות המנהלת ומאידך בקרה מקצועית אפקטיבית של הגורמים הרלוונטיים. </w:t>
      </w:r>
      <w:r w:rsidR="00C03968">
        <w:rPr>
          <w:rFonts w:hint="cs"/>
          <w:rtl/>
        </w:rPr>
        <w:t xml:space="preserve">מובהר כי מאחר וישנו יתרון מקצועי, עסקי ופרקטי משמעותי בהישענות של המנהלת על </w:t>
      </w:r>
      <w:r w:rsidR="008522BC" w:rsidRPr="002F2A4A">
        <w:rPr>
          <w:rFonts w:hint="cs"/>
          <w:rtl/>
        </w:rPr>
        <w:t>הידע והניסיון המקצועי, שמחזיקים משרדי הממשלה</w:t>
      </w:r>
      <w:r w:rsidR="00C03968" w:rsidRPr="002F2A4A">
        <w:rPr>
          <w:rFonts w:hint="cs"/>
          <w:rtl/>
        </w:rPr>
        <w:t>, כל אחד בתחום מומחיותו ואחריתו. הכוונה כי משר</w:t>
      </w:r>
      <w:r w:rsidR="00C03968">
        <w:rPr>
          <w:rFonts w:hint="cs"/>
          <w:rtl/>
        </w:rPr>
        <w:t xml:space="preserve">די הממשלה השונים ייבצעו בעצמם פעולות, הנדרשות למנהלת ונמצאות בתחומי אחריותה, באמצעות התקשרויות שהם עורכים ובמימון המנהלת. לאור האמור מוצע לקבוע, כתנאי לאפשרות המנהלת להתקשר עם ספק של משרד כאמור בפסקה זו, כי ההתקשרות אינה בתחום ליבה מקצועי של המשרד. </w:t>
      </w:r>
    </w:p>
    <w:p w:rsidR="002F2A4A" w:rsidRDefault="002F2A4A" w:rsidP="00C03968">
      <w:pPr>
        <w:rPr>
          <w:rtl/>
        </w:rPr>
      </w:pPr>
      <w:r>
        <w:rPr>
          <w:rFonts w:hint="cs"/>
          <w:rtl/>
        </w:rPr>
        <w:t xml:space="preserve">הוספת פסקה (36) </w:t>
      </w:r>
      <w:r w:rsidR="00D41520">
        <w:rPr>
          <w:rFonts w:hint="cs"/>
          <w:rtl/>
        </w:rPr>
        <w:t xml:space="preserve">לתקנה 3 לתקנות העיקריות </w:t>
      </w:r>
      <w:r>
        <w:rPr>
          <w:rtl/>
        </w:rPr>
        <w:t>–</w:t>
      </w:r>
      <w:r>
        <w:rPr>
          <w:rFonts w:hint="cs"/>
          <w:rtl/>
        </w:rPr>
        <w:t xml:space="preserve"> על מנת לייעל ולפשט את עבודת המנהלת מוצע לאפשר למנהלת להשתמש, בבואה לערוך מכרז סגור, ברשימות ספקים שמנהל משרד. </w:t>
      </w:r>
    </w:p>
    <w:p w:rsidR="00154461" w:rsidRDefault="00154461" w:rsidP="00154461">
      <w:pPr>
        <w:rPr>
          <w:rtl/>
        </w:rPr>
      </w:pPr>
    </w:p>
    <w:p w:rsidR="00154461" w:rsidRDefault="00154461" w:rsidP="005959B3">
      <w:pPr>
        <w:rPr>
          <w:rFonts w:asciiTheme="minorHAnsi" w:hAnsiTheme="minorHAnsi"/>
          <w:rtl/>
        </w:rPr>
      </w:pPr>
      <w:r>
        <w:rPr>
          <w:rFonts w:asciiTheme="minorHAnsi" w:hAnsiTheme="minorHAnsi" w:hint="cs"/>
          <w:rtl/>
        </w:rPr>
        <w:t xml:space="preserve">פסקה </w:t>
      </w:r>
      <w:r w:rsidR="00D41520">
        <w:rPr>
          <w:rFonts w:asciiTheme="minorHAnsi" w:hAnsiTheme="minorHAnsi" w:hint="cs"/>
          <w:rtl/>
        </w:rPr>
        <w:t xml:space="preserve">(2) </w:t>
      </w:r>
      <w:r>
        <w:rPr>
          <w:rFonts w:asciiTheme="minorHAnsi" w:hAnsiTheme="minorHAnsi" w:hint="cs"/>
          <w:rtl/>
        </w:rPr>
        <w:t xml:space="preserve">- </w:t>
      </w:r>
      <w:r w:rsidR="00233DB6">
        <w:rPr>
          <w:rFonts w:asciiTheme="minorHAnsi" w:hAnsiTheme="minorHAnsi" w:hint="cs"/>
          <w:rtl/>
        </w:rPr>
        <w:t xml:space="preserve"> </w:t>
      </w:r>
      <w:r>
        <w:rPr>
          <w:rFonts w:hint="cs"/>
          <w:rtl/>
        </w:rPr>
        <w:t>על מנת לייעל את עבודת המנהלת, בהתקשרויותיה עם מתכנן לביצוע עבודה מקצועית הדורשת ידע ומומחיות מיוחדים בענף התכנון, מוצע להגדיל את הסכומים הקבועים בתקנה 5א(ב)</w:t>
      </w:r>
      <w:r>
        <w:rPr>
          <w:rFonts w:asciiTheme="minorHAnsi" w:hAnsiTheme="minorHAnsi" w:hint="cs"/>
          <w:rtl/>
        </w:rPr>
        <w:t>.</w:t>
      </w:r>
    </w:p>
    <w:p w:rsidR="00233DB6" w:rsidRDefault="00154461" w:rsidP="00C845A1">
      <w:pPr>
        <w:rPr>
          <w:rFonts w:asciiTheme="minorHAnsi" w:hAnsiTheme="minorHAnsi"/>
          <w:rtl/>
        </w:rPr>
      </w:pPr>
      <w:r>
        <w:rPr>
          <w:rFonts w:asciiTheme="minorHAnsi" w:hAnsiTheme="minorHAnsi" w:hint="cs"/>
          <w:rtl/>
        </w:rPr>
        <w:t xml:space="preserve">פסקה </w:t>
      </w:r>
      <w:r w:rsidR="00D41520">
        <w:rPr>
          <w:rFonts w:asciiTheme="minorHAnsi" w:hAnsiTheme="minorHAnsi" w:hint="cs"/>
          <w:rtl/>
        </w:rPr>
        <w:t xml:space="preserve">(3) </w:t>
      </w:r>
      <w:r w:rsidR="00D41520">
        <w:rPr>
          <w:rFonts w:asciiTheme="minorHAnsi" w:hAnsiTheme="minorHAnsi"/>
          <w:rtl/>
        </w:rPr>
        <w:t>–</w:t>
      </w:r>
      <w:r w:rsidR="00D41520">
        <w:rPr>
          <w:rFonts w:asciiTheme="minorHAnsi" w:hAnsiTheme="minorHAnsi" w:hint="cs"/>
          <w:rtl/>
        </w:rPr>
        <w:t xml:space="preserve"> תיקון תקנה 12 לתקנות העיקריות -</w:t>
      </w:r>
      <w:r>
        <w:rPr>
          <w:rFonts w:asciiTheme="minorHAnsi" w:hAnsiTheme="minorHAnsi" w:hint="cs"/>
          <w:rtl/>
        </w:rPr>
        <w:t xml:space="preserve"> </w:t>
      </w:r>
      <w:r w:rsidR="00233DB6">
        <w:rPr>
          <w:rFonts w:asciiTheme="minorHAnsi" w:hAnsiTheme="minorHAnsi" w:hint="cs"/>
          <w:rtl/>
        </w:rPr>
        <w:t xml:space="preserve">מוצע </w:t>
      </w:r>
      <w:r w:rsidR="00730E49">
        <w:rPr>
          <w:rFonts w:asciiTheme="minorHAnsi" w:hAnsiTheme="minorHAnsi" w:hint="cs"/>
          <w:rtl/>
        </w:rPr>
        <w:t>להרחיב את סמכותה של וע</w:t>
      </w:r>
      <w:r w:rsidR="00233DB6">
        <w:rPr>
          <w:rFonts w:asciiTheme="minorHAnsi" w:hAnsiTheme="minorHAnsi" w:hint="cs"/>
          <w:rtl/>
        </w:rPr>
        <w:t xml:space="preserve">דת הפטור של המנהלת, כך שתוכל לאשר התקשרויות בפטור ממכרז עד לסכום של </w:t>
      </w:r>
      <w:r w:rsidR="00FE028F">
        <w:rPr>
          <w:rFonts w:asciiTheme="minorHAnsi" w:hAnsiTheme="minorHAnsi" w:hint="cs"/>
          <w:rtl/>
        </w:rPr>
        <w:t>8</w:t>
      </w:r>
      <w:r w:rsidR="00233DB6">
        <w:rPr>
          <w:rFonts w:asciiTheme="minorHAnsi" w:hAnsiTheme="minorHAnsi" w:hint="cs"/>
          <w:rtl/>
        </w:rPr>
        <w:t xml:space="preserve">,000,000 </w:t>
      </w:r>
      <w:r w:rsidR="00D41520">
        <w:rPr>
          <w:rFonts w:asciiTheme="minorHAnsi" w:hAnsiTheme="minorHAnsi" w:hint="cs"/>
          <w:rtl/>
        </w:rPr>
        <w:t xml:space="preserve">ש"ח, </w:t>
      </w:r>
      <w:r w:rsidR="00233DB6">
        <w:rPr>
          <w:rFonts w:asciiTheme="minorHAnsi" w:hAnsiTheme="minorHAnsi" w:hint="cs"/>
          <w:rtl/>
        </w:rPr>
        <w:t xml:space="preserve">במקום עד 4,000,000 </w:t>
      </w:r>
      <w:r w:rsidR="00D41520">
        <w:rPr>
          <w:rFonts w:asciiTheme="minorHAnsi" w:hAnsiTheme="minorHAnsi" w:hint="cs"/>
          <w:rtl/>
        </w:rPr>
        <w:t xml:space="preserve">ש"ח. </w:t>
      </w:r>
    </w:p>
    <w:p w:rsidR="00233DB6" w:rsidRDefault="00233DB6" w:rsidP="00C845A1">
      <w:pPr>
        <w:rPr>
          <w:rFonts w:asciiTheme="minorHAnsi" w:hAnsiTheme="minorHAnsi"/>
          <w:rtl/>
        </w:rPr>
      </w:pPr>
      <w:r>
        <w:rPr>
          <w:rFonts w:asciiTheme="minorHAnsi" w:hAnsiTheme="minorHAnsi" w:hint="cs"/>
          <w:rtl/>
        </w:rPr>
        <w:t xml:space="preserve">פסקה </w:t>
      </w:r>
      <w:r w:rsidR="00D41520">
        <w:rPr>
          <w:rFonts w:asciiTheme="minorHAnsi" w:hAnsiTheme="minorHAnsi" w:hint="cs"/>
          <w:rtl/>
        </w:rPr>
        <w:t xml:space="preserve">(4) </w:t>
      </w:r>
      <w:r>
        <w:rPr>
          <w:rFonts w:asciiTheme="minorHAnsi" w:hAnsiTheme="minorHAnsi"/>
          <w:rtl/>
        </w:rPr>
        <w:t>–</w:t>
      </w:r>
      <w:r>
        <w:rPr>
          <w:rFonts w:asciiTheme="minorHAnsi" w:hAnsiTheme="minorHAnsi" w:hint="cs"/>
          <w:rtl/>
        </w:rPr>
        <w:t xml:space="preserve"> </w:t>
      </w:r>
      <w:r w:rsidR="00D41520">
        <w:rPr>
          <w:rFonts w:asciiTheme="minorHAnsi" w:hAnsiTheme="minorHAnsi" w:hint="cs"/>
          <w:rtl/>
        </w:rPr>
        <w:t xml:space="preserve">תיקון תקנה 15(א) לתקנות העיקריות - </w:t>
      </w:r>
      <w:r>
        <w:rPr>
          <w:rFonts w:asciiTheme="minorHAnsi" w:hAnsiTheme="minorHAnsi" w:hint="cs"/>
          <w:rtl/>
        </w:rPr>
        <w:t xml:space="preserve">מוצע לפטור את המנהלת מהצורך לפרסם הודעה על מכרז </w:t>
      </w:r>
      <w:r w:rsidR="0084128C">
        <w:rPr>
          <w:rFonts w:asciiTheme="minorHAnsi" w:hAnsiTheme="minorHAnsi" w:hint="cs"/>
          <w:rtl/>
        </w:rPr>
        <w:t>פומבי בעיתונות ולחייבה לפרסם הו</w:t>
      </w:r>
      <w:r>
        <w:rPr>
          <w:rFonts w:asciiTheme="minorHAnsi" w:hAnsiTheme="minorHAnsi" w:hint="cs"/>
          <w:rtl/>
        </w:rPr>
        <w:t xml:space="preserve">דעה כאמור רק באתר האינטרנט. </w:t>
      </w:r>
    </w:p>
    <w:p w:rsidR="00417B36" w:rsidRDefault="00417B36" w:rsidP="00233DB6">
      <w:pPr>
        <w:rPr>
          <w:rFonts w:asciiTheme="minorHAnsi" w:hAnsiTheme="minorHAnsi"/>
          <w:u w:val="single"/>
          <w:rtl/>
        </w:rPr>
      </w:pPr>
    </w:p>
    <w:p w:rsidR="00417B36" w:rsidRPr="00C845A1" w:rsidRDefault="00975895" w:rsidP="00233DB6">
      <w:pPr>
        <w:rPr>
          <w:rFonts w:asciiTheme="minorHAnsi" w:hAnsiTheme="minorHAnsi"/>
          <w:b/>
          <w:bCs/>
          <w:u w:val="single"/>
          <w:rtl/>
        </w:rPr>
      </w:pPr>
      <w:r w:rsidRPr="00C845A1">
        <w:rPr>
          <w:rFonts w:asciiTheme="minorHAnsi" w:hAnsiTheme="minorHAnsi" w:hint="eastAsia"/>
          <w:b/>
          <w:bCs/>
          <w:u w:val="single"/>
          <w:rtl/>
        </w:rPr>
        <w:t>לתקנה</w:t>
      </w:r>
      <w:r w:rsidRPr="00C845A1">
        <w:rPr>
          <w:rFonts w:asciiTheme="minorHAnsi" w:hAnsiTheme="minorHAnsi"/>
          <w:b/>
          <w:bCs/>
          <w:u w:val="single"/>
          <w:rtl/>
        </w:rPr>
        <w:t xml:space="preserve"> 3</w:t>
      </w:r>
    </w:p>
    <w:p w:rsidR="003023C2" w:rsidRPr="003F0F81" w:rsidRDefault="003023C2" w:rsidP="005959B3">
      <w:pPr>
        <w:rPr>
          <w:rFonts w:asciiTheme="minorHAnsi" w:hAnsiTheme="minorHAnsi"/>
          <w:rtl/>
        </w:rPr>
      </w:pPr>
      <w:r>
        <w:rPr>
          <w:rFonts w:asciiTheme="minorHAnsi" w:hAnsiTheme="minorHAnsi" w:hint="cs"/>
          <w:rtl/>
        </w:rPr>
        <w:t xml:space="preserve">הוראות תקנה זו מתייחסות לפרסום החלטות המנהלת על עריכת התקשרויות בפטור ממכרז </w:t>
      </w:r>
      <w:r w:rsidR="00975895">
        <w:rPr>
          <w:rtl/>
        </w:rPr>
        <w:t>–</w:t>
      </w:r>
      <w:r>
        <w:rPr>
          <w:rFonts w:hint="cs"/>
          <w:rtl/>
        </w:rPr>
        <w:t xml:space="preserve"> </w:t>
      </w:r>
    </w:p>
    <w:p w:rsidR="00EB0A04" w:rsidRDefault="00D41520" w:rsidP="00B73461">
      <w:pPr>
        <w:rPr>
          <w:rtl/>
        </w:rPr>
      </w:pPr>
      <w:r>
        <w:rPr>
          <w:rFonts w:hint="cs"/>
          <w:rtl/>
        </w:rPr>
        <w:t>ב</w:t>
      </w:r>
      <w:r w:rsidR="00EB0A04">
        <w:rPr>
          <w:rFonts w:hint="cs"/>
          <w:rtl/>
        </w:rPr>
        <w:t xml:space="preserve">פסקה </w:t>
      </w:r>
      <w:r>
        <w:rPr>
          <w:rFonts w:hint="cs"/>
          <w:rtl/>
        </w:rPr>
        <w:t>(</w:t>
      </w:r>
      <w:r w:rsidR="00EB0A04">
        <w:rPr>
          <w:rFonts w:hint="cs"/>
          <w:rtl/>
        </w:rPr>
        <w:t>1</w:t>
      </w:r>
      <w:r>
        <w:rPr>
          <w:rFonts w:hint="cs"/>
          <w:rtl/>
        </w:rPr>
        <w:t>)</w:t>
      </w:r>
      <w:r w:rsidR="00EB0A04">
        <w:rPr>
          <w:rFonts w:hint="cs"/>
          <w:rtl/>
        </w:rPr>
        <w:t xml:space="preserve"> </w:t>
      </w:r>
      <w:r w:rsidR="00EB0A04">
        <w:rPr>
          <w:rtl/>
        </w:rPr>
        <w:t>–</w:t>
      </w:r>
      <w:r w:rsidR="00EB0A04">
        <w:rPr>
          <w:rFonts w:hint="cs"/>
          <w:rtl/>
        </w:rPr>
        <w:t xml:space="preserve"> מוצע לתקן את תקנה 1ג(א) </w:t>
      </w:r>
      <w:r>
        <w:rPr>
          <w:rFonts w:hint="cs"/>
          <w:rtl/>
        </w:rPr>
        <w:t xml:space="preserve">לתקנות העיקריות </w:t>
      </w:r>
      <w:r w:rsidR="00EB0A04">
        <w:rPr>
          <w:rFonts w:hint="cs"/>
          <w:rtl/>
        </w:rPr>
        <w:t xml:space="preserve">כך שמנהלת תקומה תהיה פטורה מלפרסם את החלטותיה לבצע התקשרויות בפטור ממכרז, וזאת לתקופה של ששה חודשים מיום התקנת התקנות. מנהלת תקומה תהיה מחויבת להודיע לוועדת הפטור על קבלת החלטה כאמור, וזאת תוך חמישה ימים ממועד קבלתה. כמו כן מנהלת תקומה תפרסם החלטות כאמור באתר האינטרנט תוך שלושה חודשים ממועד קבלת ההחלטה. </w:t>
      </w:r>
    </w:p>
    <w:p w:rsidR="003023C2" w:rsidRDefault="003023C2" w:rsidP="00975895">
      <w:pPr>
        <w:rPr>
          <w:rtl/>
        </w:rPr>
      </w:pPr>
    </w:p>
    <w:p w:rsidR="00975895" w:rsidRDefault="00D41520" w:rsidP="005959B3">
      <w:pPr>
        <w:rPr>
          <w:rtl/>
        </w:rPr>
      </w:pPr>
      <w:r>
        <w:rPr>
          <w:rFonts w:hint="cs"/>
          <w:rtl/>
        </w:rPr>
        <w:t>ב</w:t>
      </w:r>
      <w:r w:rsidR="003023C2">
        <w:rPr>
          <w:rFonts w:hint="cs"/>
          <w:rtl/>
        </w:rPr>
        <w:t xml:space="preserve">פסקה </w:t>
      </w:r>
      <w:r>
        <w:rPr>
          <w:rFonts w:hint="cs"/>
          <w:rtl/>
        </w:rPr>
        <w:t xml:space="preserve">(2) </w:t>
      </w:r>
      <w:r>
        <w:rPr>
          <w:rtl/>
        </w:rPr>
        <w:t>–</w:t>
      </w:r>
      <w:r w:rsidR="003023C2">
        <w:rPr>
          <w:rFonts w:hint="cs"/>
          <w:rtl/>
        </w:rPr>
        <w:t xml:space="preserve"> </w:t>
      </w:r>
      <w:r>
        <w:rPr>
          <w:rFonts w:hint="cs"/>
          <w:rtl/>
        </w:rPr>
        <w:t>תיקון תקנה 3</w:t>
      </w:r>
      <w:r w:rsidR="00975895">
        <w:rPr>
          <w:rFonts w:hint="cs"/>
          <w:rtl/>
        </w:rPr>
        <w:t xml:space="preserve">(29) </w:t>
      </w:r>
      <w:r>
        <w:rPr>
          <w:rFonts w:hint="cs"/>
          <w:rtl/>
        </w:rPr>
        <w:t xml:space="preserve">לתקנות העיקריות </w:t>
      </w:r>
      <w:r w:rsidR="00975895">
        <w:rPr>
          <w:rtl/>
        </w:rPr>
        <w:t>–</w:t>
      </w:r>
      <w:r w:rsidR="00975895">
        <w:rPr>
          <w:rFonts w:hint="cs"/>
          <w:rtl/>
        </w:rPr>
        <w:t xml:space="preserve"> מוצע לקבוע כי טרם קבלת החלטה על התקשרות בפטור ממכרז בעילת ספק יחיד, מנהלת תקומה תערוך הליך לבחינת קיומם של ספקים כך שהגורם המקצועי במנהלת יחווה את דעתו כי הספק המבוקש עומד בתנאי התקנה וחוות הדעת האמורה תוגש לוועדת המכרזים. המנהלת לא תצטרך לפרסם את כוונתה להתקשר עם הספק, טרם קבלת ההחלטה. הוראה זו תעמ</w:t>
      </w:r>
      <w:r w:rsidR="003023C2">
        <w:rPr>
          <w:rFonts w:hint="cs"/>
          <w:rtl/>
        </w:rPr>
        <w:t>ו</w:t>
      </w:r>
      <w:r w:rsidR="00975895">
        <w:rPr>
          <w:rFonts w:hint="cs"/>
          <w:rtl/>
        </w:rPr>
        <w:t xml:space="preserve">ד בתקופה ששה חודשים מיום התקנת התקנות. </w:t>
      </w:r>
    </w:p>
    <w:p w:rsidR="00975895" w:rsidRDefault="00D41520" w:rsidP="00C845A1">
      <w:pPr>
        <w:rPr>
          <w:rFonts w:asciiTheme="minorHAnsi" w:hAnsiTheme="minorHAnsi"/>
          <w:rtl/>
        </w:rPr>
      </w:pPr>
      <w:r>
        <w:rPr>
          <w:rFonts w:hint="cs"/>
          <w:rtl/>
        </w:rPr>
        <w:t>ב</w:t>
      </w:r>
      <w:r w:rsidR="00EB0A04">
        <w:rPr>
          <w:rFonts w:hint="cs"/>
          <w:rtl/>
        </w:rPr>
        <w:t xml:space="preserve">פסקה </w:t>
      </w:r>
      <w:r>
        <w:rPr>
          <w:rFonts w:hint="cs"/>
          <w:rtl/>
        </w:rPr>
        <w:t>(</w:t>
      </w:r>
      <w:r w:rsidR="00EB0A04">
        <w:rPr>
          <w:rFonts w:hint="cs"/>
          <w:rtl/>
        </w:rPr>
        <w:t>3</w:t>
      </w:r>
      <w:r>
        <w:rPr>
          <w:rFonts w:hint="cs"/>
          <w:rtl/>
        </w:rPr>
        <w:t>)</w:t>
      </w:r>
      <w:r w:rsidR="00975895">
        <w:rPr>
          <w:rFonts w:hint="cs"/>
          <w:rtl/>
        </w:rPr>
        <w:t xml:space="preserve"> </w:t>
      </w:r>
      <w:r w:rsidR="00975895">
        <w:rPr>
          <w:rtl/>
        </w:rPr>
        <w:t>–</w:t>
      </w:r>
      <w:r w:rsidR="00975895">
        <w:rPr>
          <w:rFonts w:asciiTheme="minorHAnsi" w:hAnsiTheme="minorHAnsi" w:hint="cs"/>
          <w:rtl/>
        </w:rPr>
        <w:t xml:space="preserve"> </w:t>
      </w:r>
      <w:r w:rsidR="003354CE">
        <w:rPr>
          <w:rFonts w:asciiTheme="minorHAnsi" w:hAnsiTheme="minorHAnsi" w:hint="cs"/>
          <w:rtl/>
        </w:rPr>
        <w:t xml:space="preserve">תיקון תקנה 3א(א) לתקנות העיקריות - </w:t>
      </w:r>
      <w:r w:rsidR="00975895">
        <w:rPr>
          <w:rFonts w:asciiTheme="minorHAnsi" w:hAnsiTheme="minorHAnsi" w:hint="cs"/>
          <w:rtl/>
        </w:rPr>
        <w:t xml:space="preserve">מוצע לקצר את מספר הימים הנדרש לפרסום כוונה להתקשר עם ספק יחיד, במסגרת הליך לבחינת קיומם של ספקים, מעשרה ימי עבודה לחמישה ימי עבודה וכן לקצר את מספר הימים בו ניתן להגיש למנהלת השגות על כוונה כאמור מארבעה עשר ימי עבודה לשבעה ימי עבודה. </w:t>
      </w:r>
      <w:r w:rsidR="00EB0A04">
        <w:rPr>
          <w:rFonts w:asciiTheme="minorHAnsi" w:hAnsiTheme="minorHAnsi" w:hint="cs"/>
          <w:rtl/>
        </w:rPr>
        <w:t>מאחר וכאמור בפסקה (1) בתקופה של ששה חודשים מיום התקנת התקנות, המנהלת פטורה מלפרסם את החלטותיה על עריכת התקשרות בפטור ממכרז, מועד תחילתן של הוראות פסקה</w:t>
      </w:r>
      <w:r w:rsidR="00975895">
        <w:rPr>
          <w:rFonts w:asciiTheme="minorHAnsi" w:hAnsiTheme="minorHAnsi" w:hint="cs"/>
          <w:rtl/>
        </w:rPr>
        <w:t xml:space="preserve"> זו</w:t>
      </w:r>
      <w:r w:rsidR="003354CE">
        <w:rPr>
          <w:rFonts w:asciiTheme="minorHAnsi" w:hAnsiTheme="minorHAnsi" w:hint="cs"/>
          <w:rtl/>
        </w:rPr>
        <w:t xml:space="preserve"> הוא</w:t>
      </w:r>
      <w:r w:rsidR="00975895">
        <w:rPr>
          <w:rFonts w:asciiTheme="minorHAnsi" w:hAnsiTheme="minorHAnsi" w:hint="cs"/>
          <w:rtl/>
        </w:rPr>
        <w:t xml:space="preserve"> ששה חודשים לאחר מועד פרסום התקנות, למשך תקופה של שישה חודשים. </w:t>
      </w:r>
    </w:p>
    <w:p w:rsidR="00975895" w:rsidRDefault="00975895" w:rsidP="00975895">
      <w:pPr>
        <w:rPr>
          <w:rtl/>
        </w:rPr>
      </w:pPr>
    </w:p>
    <w:p w:rsidR="00975895" w:rsidRDefault="00975895" w:rsidP="00233DB6">
      <w:pPr>
        <w:rPr>
          <w:rFonts w:asciiTheme="minorHAnsi" w:hAnsiTheme="minorHAnsi"/>
          <w:rtl/>
        </w:rPr>
      </w:pPr>
    </w:p>
    <w:p w:rsidR="00975895" w:rsidRPr="00C845A1" w:rsidRDefault="00975895" w:rsidP="00233DB6">
      <w:pPr>
        <w:rPr>
          <w:rFonts w:asciiTheme="minorHAnsi" w:hAnsiTheme="minorHAnsi"/>
          <w:b/>
          <w:bCs/>
          <w:rtl/>
        </w:rPr>
      </w:pPr>
      <w:r w:rsidRPr="00C845A1">
        <w:rPr>
          <w:rFonts w:asciiTheme="minorHAnsi" w:hAnsiTheme="minorHAnsi" w:hint="eastAsia"/>
          <w:b/>
          <w:bCs/>
          <w:rtl/>
        </w:rPr>
        <w:t>לתקנה</w:t>
      </w:r>
      <w:r w:rsidRPr="00C845A1">
        <w:rPr>
          <w:rFonts w:asciiTheme="minorHAnsi" w:hAnsiTheme="minorHAnsi"/>
          <w:b/>
          <w:bCs/>
          <w:rtl/>
        </w:rPr>
        <w:t xml:space="preserve"> 4</w:t>
      </w:r>
    </w:p>
    <w:p w:rsidR="00AB53B4" w:rsidRDefault="00AB53B4" w:rsidP="00233DB6">
      <w:pPr>
        <w:rPr>
          <w:rtl/>
        </w:rPr>
      </w:pPr>
      <w:r>
        <w:rPr>
          <w:rFonts w:hint="cs"/>
          <w:rtl/>
        </w:rPr>
        <w:t>הוראות תקנה זו מתייחסות להתקשרויות של המנהלת עם בעל מקצוע מומחה.</w:t>
      </w:r>
    </w:p>
    <w:p w:rsidR="00975895" w:rsidRDefault="00975895" w:rsidP="00233DB6">
      <w:pPr>
        <w:rPr>
          <w:rFonts w:asciiTheme="minorHAnsi" w:hAnsiTheme="minorHAnsi"/>
          <w:rtl/>
        </w:rPr>
      </w:pPr>
      <w:r>
        <w:rPr>
          <w:rFonts w:hint="cs"/>
          <w:rtl/>
        </w:rPr>
        <w:t xml:space="preserve">הוספת פסקה (37) </w:t>
      </w:r>
      <w:r w:rsidR="003354CE">
        <w:rPr>
          <w:rFonts w:hint="cs"/>
          <w:rtl/>
        </w:rPr>
        <w:t xml:space="preserve">לתקנה 3 לתקנות העיקריות </w:t>
      </w:r>
      <w:r>
        <w:rPr>
          <w:rtl/>
        </w:rPr>
        <w:t>–</w:t>
      </w:r>
      <w:r>
        <w:rPr>
          <w:rFonts w:hint="cs"/>
          <w:rtl/>
        </w:rPr>
        <w:t xml:space="preserve"> מוצע לאפשר למנהלת תקומה להתקשר עם ספק לקבלת שירותי ייעוץ, למעט שירותי עריכת דין, ראית חשבון, בוררות, ביצוע מחקר וייעוץ תקשורת, בהליך של פטור ממכרז וללא הצורך לערוך הליך בחינת קיומם של ספקים או הליך לבחירה בין מסר הצעות, כאמור בתקנה 5 לתקנות העיקריות. החלטה כאמור תאושר על ידי ועדת הפטור של המנהלת ובתנאי ששווי ההתקשרות, כולל התקשרויות המשך שנערכו לה, אינו עולה על מיליון שקלים חדשים ותקופת ההתקשרות אינה עולה על שנה. מנהלת תקומה תדווח לוועדת הפטור על החלטותיה מכוח תקנה זו תוך חמישה ימי עבודה. הוראה זו תעמוד בתוקפה למשך ארבעה חודשים</w:t>
      </w:r>
      <w:r>
        <w:rPr>
          <w:rFonts w:hint="cs"/>
          <w:rtl/>
        </w:rPr>
        <w:t xml:space="preserve"> מיום התקנת התקנות</w:t>
      </w:r>
      <w:r>
        <w:rPr>
          <w:rFonts w:hint="cs"/>
          <w:rtl/>
        </w:rPr>
        <w:t>.</w:t>
      </w:r>
    </w:p>
    <w:p w:rsidR="00417B36" w:rsidRDefault="00417B36" w:rsidP="00233DB6">
      <w:pPr>
        <w:rPr>
          <w:rFonts w:asciiTheme="minorHAnsi" w:hAnsiTheme="minorHAnsi"/>
          <w:rtl/>
        </w:rPr>
      </w:pPr>
    </w:p>
    <w:sectPr w:rsidR="00417B36" w:rsidSect="00EF34EB">
      <w:pgSz w:w="11906" w:h="16838"/>
      <w:pgMar w:top="1701" w:right="1134" w:bottom="141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747DF"/>
    <w:multiLevelType w:val="hybridMultilevel"/>
    <w:tmpl w:val="FC20E698"/>
    <w:lvl w:ilvl="0" w:tplc="9FC01138">
      <w:start w:val="1"/>
      <w:numFmt w:val="decimal"/>
      <w:lvlRestart w:val="0"/>
      <w:lvlText w:val="(%1)"/>
      <w:lvlJc w:val="left"/>
      <w:pPr>
        <w:tabs>
          <w:tab w:val="num" w:pos="1932"/>
        </w:tabs>
        <w:ind w:left="1308" w:firstLine="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1" w15:restartNumberingAfterBreak="0">
    <w:nsid w:val="06CB40FC"/>
    <w:multiLevelType w:val="hybridMultilevel"/>
    <w:tmpl w:val="AE962FFC"/>
    <w:lvl w:ilvl="0" w:tplc="4A945C6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8120A"/>
    <w:multiLevelType w:val="hybridMultilevel"/>
    <w:tmpl w:val="99B8D266"/>
    <w:lvl w:ilvl="0" w:tplc="D958B8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B512E"/>
    <w:multiLevelType w:val="hybridMultilevel"/>
    <w:tmpl w:val="4C20CCC4"/>
    <w:lvl w:ilvl="0" w:tplc="02E8E2B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82797"/>
    <w:multiLevelType w:val="multilevel"/>
    <w:tmpl w:val="CB2CFB36"/>
    <w:numStyleLink w:val="-"/>
  </w:abstractNum>
  <w:abstractNum w:abstractNumId="15"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6" w15:restartNumberingAfterBreak="0">
    <w:nsid w:val="14E0192D"/>
    <w:multiLevelType w:val="hybridMultilevel"/>
    <w:tmpl w:val="F61C5CA6"/>
    <w:lvl w:ilvl="0" w:tplc="E0F0FF0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574BA2"/>
    <w:multiLevelType w:val="hybridMultilevel"/>
    <w:tmpl w:val="938AA7EC"/>
    <w:lvl w:ilvl="0" w:tplc="A4C4755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182F0035"/>
    <w:multiLevelType w:val="hybridMultilevel"/>
    <w:tmpl w:val="013CDA46"/>
    <w:lvl w:ilvl="0" w:tplc="695C86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EC479E"/>
    <w:multiLevelType w:val="hybridMultilevel"/>
    <w:tmpl w:val="53DC9090"/>
    <w:lvl w:ilvl="0" w:tplc="FD9614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42F53"/>
    <w:multiLevelType w:val="hybridMultilevel"/>
    <w:tmpl w:val="8A5455AA"/>
    <w:lvl w:ilvl="0" w:tplc="C3B803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B107C"/>
    <w:multiLevelType w:val="hybridMultilevel"/>
    <w:tmpl w:val="41CEE8D6"/>
    <w:lvl w:ilvl="0" w:tplc="5C3833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534302"/>
    <w:multiLevelType w:val="hybridMultilevel"/>
    <w:tmpl w:val="D4DC9FFC"/>
    <w:lvl w:ilvl="0" w:tplc="58B8F5A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690D37"/>
    <w:multiLevelType w:val="multilevel"/>
    <w:tmpl w:val="2C7611E6"/>
    <w:numStyleLink w:val="-0"/>
  </w:abstractNum>
  <w:abstractNum w:abstractNumId="27" w15:restartNumberingAfterBreak="0">
    <w:nsid w:val="25D87F8F"/>
    <w:multiLevelType w:val="hybridMultilevel"/>
    <w:tmpl w:val="64AEC38C"/>
    <w:lvl w:ilvl="0" w:tplc="B3BCB5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8134D"/>
    <w:multiLevelType w:val="hybridMultilevel"/>
    <w:tmpl w:val="4CDAA07A"/>
    <w:lvl w:ilvl="0" w:tplc="36D61E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EF1B59"/>
    <w:multiLevelType w:val="hybridMultilevel"/>
    <w:tmpl w:val="AFBAED3E"/>
    <w:lvl w:ilvl="0" w:tplc="C562C3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760E0D"/>
    <w:multiLevelType w:val="hybridMultilevel"/>
    <w:tmpl w:val="72989598"/>
    <w:lvl w:ilvl="0" w:tplc="4CB88D5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977C07"/>
    <w:multiLevelType w:val="hybridMultilevel"/>
    <w:tmpl w:val="DB0CF622"/>
    <w:lvl w:ilvl="0" w:tplc="BED0A9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02F51"/>
    <w:multiLevelType w:val="hybridMultilevel"/>
    <w:tmpl w:val="EE549024"/>
    <w:lvl w:ilvl="0" w:tplc="E04EBC6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872660"/>
    <w:multiLevelType w:val="hybridMultilevel"/>
    <w:tmpl w:val="E5CE92AC"/>
    <w:lvl w:ilvl="0" w:tplc="531CCA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B59F6"/>
    <w:multiLevelType w:val="hybridMultilevel"/>
    <w:tmpl w:val="1C9E1D5E"/>
    <w:lvl w:ilvl="0" w:tplc="D85241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A7DAE"/>
    <w:multiLevelType w:val="hybridMultilevel"/>
    <w:tmpl w:val="3D742036"/>
    <w:lvl w:ilvl="0" w:tplc="0980BF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D4CEE"/>
    <w:multiLevelType w:val="multilevel"/>
    <w:tmpl w:val="2C7611E6"/>
    <w:numStyleLink w:val="-0"/>
  </w:abstractNum>
  <w:abstractNum w:abstractNumId="37" w15:restartNumberingAfterBreak="0">
    <w:nsid w:val="4ACA591A"/>
    <w:multiLevelType w:val="hybridMultilevel"/>
    <w:tmpl w:val="0316A6EC"/>
    <w:lvl w:ilvl="0" w:tplc="0E4844A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730A7D"/>
    <w:multiLevelType w:val="hybridMultilevel"/>
    <w:tmpl w:val="03B81338"/>
    <w:lvl w:ilvl="0" w:tplc="6B82EB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51059"/>
    <w:multiLevelType w:val="hybridMultilevel"/>
    <w:tmpl w:val="D75EC786"/>
    <w:lvl w:ilvl="0" w:tplc="D8A482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0B6C7D"/>
    <w:multiLevelType w:val="hybridMultilevel"/>
    <w:tmpl w:val="769257A4"/>
    <w:lvl w:ilvl="0" w:tplc="E068A7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C63965"/>
    <w:multiLevelType w:val="multilevel"/>
    <w:tmpl w:val="CB2CFB36"/>
    <w:numStyleLink w:val="-"/>
  </w:abstractNum>
  <w:abstractNum w:abstractNumId="4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FF0715"/>
    <w:multiLevelType w:val="hybridMultilevel"/>
    <w:tmpl w:val="F6688C3E"/>
    <w:lvl w:ilvl="0" w:tplc="688634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21B05"/>
    <w:multiLevelType w:val="hybridMultilevel"/>
    <w:tmpl w:val="6C904F12"/>
    <w:lvl w:ilvl="0" w:tplc="A56A50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7" w15:restartNumberingAfterBreak="0">
    <w:nsid w:val="651C1EBE"/>
    <w:multiLevelType w:val="hybridMultilevel"/>
    <w:tmpl w:val="3440FED0"/>
    <w:lvl w:ilvl="0" w:tplc="A3C4FEF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213096"/>
    <w:multiLevelType w:val="hybridMultilevel"/>
    <w:tmpl w:val="9E9E93DA"/>
    <w:lvl w:ilvl="0" w:tplc="D0CA798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9" w15:restartNumberingAfterBreak="0">
    <w:nsid w:val="6F1F50F0"/>
    <w:multiLevelType w:val="hybridMultilevel"/>
    <w:tmpl w:val="7B42F576"/>
    <w:lvl w:ilvl="0" w:tplc="3802FB6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A09D9"/>
    <w:multiLevelType w:val="hybridMultilevel"/>
    <w:tmpl w:val="D9320BCE"/>
    <w:lvl w:ilvl="0" w:tplc="EEFA985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8E1D5F"/>
    <w:multiLevelType w:val="hybridMultilevel"/>
    <w:tmpl w:val="D5664E86"/>
    <w:lvl w:ilvl="0" w:tplc="8C2A8A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8594C"/>
    <w:multiLevelType w:val="hybridMultilevel"/>
    <w:tmpl w:val="0A047840"/>
    <w:lvl w:ilvl="0" w:tplc="1A64CC4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ED059E"/>
    <w:multiLevelType w:val="hybridMultilevel"/>
    <w:tmpl w:val="4ED83576"/>
    <w:lvl w:ilvl="0" w:tplc="359AC68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6"/>
  </w:num>
  <w:num w:numId="3">
    <w:abstractNumId w:val="15"/>
  </w:num>
  <w:num w:numId="4">
    <w:abstractNumId w:val="17"/>
  </w:num>
  <w:num w:numId="5">
    <w:abstractNumId w:val="14"/>
  </w:num>
  <w:num w:numId="6">
    <w:abstractNumId w:val="36"/>
  </w:num>
  <w:num w:numId="7">
    <w:abstractNumId w:val="41"/>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1"/>
  </w:num>
  <w:num w:numId="12">
    <w:abstractNumId w:val="21"/>
  </w:num>
  <w:num w:numId="13">
    <w:abstractNumId w:val="52"/>
  </w:num>
  <w:num w:numId="14">
    <w:abstractNumId w:val="8"/>
  </w:num>
  <w:num w:numId="15">
    <w:abstractNumId w:val="3"/>
  </w:num>
  <w:num w:numId="16">
    <w:abstractNumId w:val="2"/>
  </w:num>
  <w:num w:numId="17">
    <w:abstractNumId w:val="1"/>
  </w:num>
  <w:num w:numId="18">
    <w:abstractNumId w:val="9"/>
  </w:num>
  <w:num w:numId="19">
    <w:abstractNumId w:val="7"/>
  </w:num>
  <w:num w:numId="20">
    <w:abstractNumId w:val="6"/>
  </w:num>
  <w:num w:numId="21">
    <w:abstractNumId w:val="5"/>
  </w:num>
  <w:num w:numId="22">
    <w:abstractNumId w:val="4"/>
  </w:num>
  <w:num w:numId="23">
    <w:abstractNumId w:val="42"/>
  </w:num>
  <w:num w:numId="24">
    <w:abstractNumId w:val="42"/>
    <w:lvlOverride w:ilvl="0">
      <w:startOverride w:val="1"/>
    </w:lvlOverride>
  </w:num>
  <w:num w:numId="25">
    <w:abstractNumId w:val="19"/>
  </w:num>
  <w:num w:numId="26">
    <w:abstractNumId w:val="45"/>
  </w:num>
  <w:num w:numId="27">
    <w:abstractNumId w:val="39"/>
  </w:num>
  <w:num w:numId="28">
    <w:abstractNumId w:val="24"/>
  </w:num>
  <w:num w:numId="29">
    <w:abstractNumId w:val="13"/>
  </w:num>
  <w:num w:numId="30">
    <w:abstractNumId w:val="28"/>
  </w:num>
  <w:num w:numId="31">
    <w:abstractNumId w:val="11"/>
  </w:num>
  <w:num w:numId="32">
    <w:abstractNumId w:val="29"/>
  </w:num>
  <w:num w:numId="33">
    <w:abstractNumId w:val="22"/>
  </w:num>
  <w:num w:numId="34">
    <w:abstractNumId w:val="32"/>
  </w:num>
  <w:num w:numId="35">
    <w:abstractNumId w:val="33"/>
  </w:num>
  <w:num w:numId="36">
    <w:abstractNumId w:val="44"/>
  </w:num>
  <w:num w:numId="37">
    <w:abstractNumId w:val="50"/>
  </w:num>
  <w:num w:numId="38">
    <w:abstractNumId w:val="54"/>
  </w:num>
  <w:num w:numId="39">
    <w:abstractNumId w:val="53"/>
  </w:num>
  <w:num w:numId="40">
    <w:abstractNumId w:val="31"/>
  </w:num>
  <w:num w:numId="41">
    <w:abstractNumId w:val="16"/>
  </w:num>
  <w:num w:numId="42">
    <w:abstractNumId w:val="25"/>
  </w:num>
  <w:num w:numId="43">
    <w:abstractNumId w:val="48"/>
  </w:num>
  <w:num w:numId="44">
    <w:abstractNumId w:val="37"/>
  </w:num>
  <w:num w:numId="45">
    <w:abstractNumId w:val="47"/>
  </w:num>
  <w:num w:numId="46">
    <w:abstractNumId w:val="55"/>
  </w:num>
  <w:num w:numId="47">
    <w:abstractNumId w:val="40"/>
  </w:num>
  <w:num w:numId="48">
    <w:abstractNumId w:val="23"/>
  </w:num>
  <w:num w:numId="49">
    <w:abstractNumId w:val="34"/>
  </w:num>
  <w:num w:numId="50">
    <w:abstractNumId w:val="49"/>
  </w:num>
  <w:num w:numId="51">
    <w:abstractNumId w:val="38"/>
  </w:num>
  <w:num w:numId="52">
    <w:abstractNumId w:val="30"/>
  </w:num>
  <w:num w:numId="53">
    <w:abstractNumId w:val="27"/>
  </w:num>
  <w:num w:numId="54">
    <w:abstractNumId w:val="12"/>
  </w:num>
  <w:num w:numId="55">
    <w:abstractNumId w:val="35"/>
  </w:num>
  <w:num w:numId="56">
    <w:abstractNumId w:val="18"/>
  </w:num>
  <w:num w:numId="57">
    <w:abstractNumId w:val="20"/>
  </w:num>
  <w:num w:numId="58">
    <w:abstractNumId w:val="43"/>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D9"/>
    <w:rsid w:val="00005B63"/>
    <w:rsid w:val="00010CEE"/>
    <w:rsid w:val="00014182"/>
    <w:rsid w:val="00043C34"/>
    <w:rsid w:val="00047C97"/>
    <w:rsid w:val="000520B7"/>
    <w:rsid w:val="00054A63"/>
    <w:rsid w:val="000568CE"/>
    <w:rsid w:val="00066383"/>
    <w:rsid w:val="000664D4"/>
    <w:rsid w:val="00093B9D"/>
    <w:rsid w:val="00096DE7"/>
    <w:rsid w:val="00097C1A"/>
    <w:rsid w:val="000A2DD7"/>
    <w:rsid w:val="000A6DA2"/>
    <w:rsid w:val="000B3D44"/>
    <w:rsid w:val="000C04AE"/>
    <w:rsid w:val="000C083D"/>
    <w:rsid w:val="000C1843"/>
    <w:rsid w:val="000C6B0B"/>
    <w:rsid w:val="000C6F96"/>
    <w:rsid w:val="000D22E4"/>
    <w:rsid w:val="000D247A"/>
    <w:rsid w:val="000D3F91"/>
    <w:rsid w:val="000E6098"/>
    <w:rsid w:val="000E632C"/>
    <w:rsid w:val="000F2ACA"/>
    <w:rsid w:val="0010326C"/>
    <w:rsid w:val="0011068F"/>
    <w:rsid w:val="00143B8C"/>
    <w:rsid w:val="001442D8"/>
    <w:rsid w:val="00145C13"/>
    <w:rsid w:val="00154461"/>
    <w:rsid w:val="001611C6"/>
    <w:rsid w:val="00164B30"/>
    <w:rsid w:val="0018062A"/>
    <w:rsid w:val="00182446"/>
    <w:rsid w:val="0018292D"/>
    <w:rsid w:val="001902D3"/>
    <w:rsid w:val="00196236"/>
    <w:rsid w:val="001A6B8A"/>
    <w:rsid w:val="001A7C42"/>
    <w:rsid w:val="001C4F6D"/>
    <w:rsid w:val="001C58D6"/>
    <w:rsid w:val="001D50BE"/>
    <w:rsid w:val="001D55DD"/>
    <w:rsid w:val="001D6D7E"/>
    <w:rsid w:val="001E4268"/>
    <w:rsid w:val="001E548A"/>
    <w:rsid w:val="001F602E"/>
    <w:rsid w:val="00221050"/>
    <w:rsid w:val="0022177B"/>
    <w:rsid w:val="00231BFD"/>
    <w:rsid w:val="00233DB6"/>
    <w:rsid w:val="00235F9D"/>
    <w:rsid w:val="002461AA"/>
    <w:rsid w:val="00260179"/>
    <w:rsid w:val="002710FF"/>
    <w:rsid w:val="00275887"/>
    <w:rsid w:val="00276741"/>
    <w:rsid w:val="00282835"/>
    <w:rsid w:val="002974A0"/>
    <w:rsid w:val="002A4217"/>
    <w:rsid w:val="002A54A3"/>
    <w:rsid w:val="002A650B"/>
    <w:rsid w:val="002A7FEA"/>
    <w:rsid w:val="002D7789"/>
    <w:rsid w:val="002E38F4"/>
    <w:rsid w:val="002E3DB4"/>
    <w:rsid w:val="002F197C"/>
    <w:rsid w:val="002F2A4A"/>
    <w:rsid w:val="002F6F50"/>
    <w:rsid w:val="002F73F7"/>
    <w:rsid w:val="003023C2"/>
    <w:rsid w:val="003241F6"/>
    <w:rsid w:val="00325E01"/>
    <w:rsid w:val="003354CE"/>
    <w:rsid w:val="003368F5"/>
    <w:rsid w:val="00361114"/>
    <w:rsid w:val="00371646"/>
    <w:rsid w:val="00372A08"/>
    <w:rsid w:val="00374AF3"/>
    <w:rsid w:val="003840FE"/>
    <w:rsid w:val="003919C4"/>
    <w:rsid w:val="00393C6A"/>
    <w:rsid w:val="003A1D7A"/>
    <w:rsid w:val="003C3A5C"/>
    <w:rsid w:val="003D710D"/>
    <w:rsid w:val="003E0A95"/>
    <w:rsid w:val="003E68F6"/>
    <w:rsid w:val="003F0F81"/>
    <w:rsid w:val="003F1396"/>
    <w:rsid w:val="0040055E"/>
    <w:rsid w:val="0041444D"/>
    <w:rsid w:val="00417B36"/>
    <w:rsid w:val="00423D6A"/>
    <w:rsid w:val="004267F0"/>
    <w:rsid w:val="00426E0E"/>
    <w:rsid w:val="004323EF"/>
    <w:rsid w:val="00432F0D"/>
    <w:rsid w:val="00433FEF"/>
    <w:rsid w:val="00435EEB"/>
    <w:rsid w:val="004410DE"/>
    <w:rsid w:val="0044663B"/>
    <w:rsid w:val="00451F2E"/>
    <w:rsid w:val="004523EB"/>
    <w:rsid w:val="004526B2"/>
    <w:rsid w:val="00452D7A"/>
    <w:rsid w:val="0045649B"/>
    <w:rsid w:val="00460E84"/>
    <w:rsid w:val="00461DB2"/>
    <w:rsid w:val="004655D1"/>
    <w:rsid w:val="004666F2"/>
    <w:rsid w:val="00482BBC"/>
    <w:rsid w:val="00491C6E"/>
    <w:rsid w:val="004963BD"/>
    <w:rsid w:val="004B259C"/>
    <w:rsid w:val="004C127D"/>
    <w:rsid w:val="004C5538"/>
    <w:rsid w:val="004D65A1"/>
    <w:rsid w:val="004E033E"/>
    <w:rsid w:val="004E479D"/>
    <w:rsid w:val="004E6BAE"/>
    <w:rsid w:val="004F3773"/>
    <w:rsid w:val="005028F9"/>
    <w:rsid w:val="00505D36"/>
    <w:rsid w:val="00515321"/>
    <w:rsid w:val="00515E5C"/>
    <w:rsid w:val="0053395B"/>
    <w:rsid w:val="00534452"/>
    <w:rsid w:val="0053573C"/>
    <w:rsid w:val="005371D8"/>
    <w:rsid w:val="0054508A"/>
    <w:rsid w:val="00550FEF"/>
    <w:rsid w:val="00556757"/>
    <w:rsid w:val="00556BE2"/>
    <w:rsid w:val="0056743E"/>
    <w:rsid w:val="00572E66"/>
    <w:rsid w:val="00590356"/>
    <w:rsid w:val="005959B3"/>
    <w:rsid w:val="005A5556"/>
    <w:rsid w:val="005B0AC5"/>
    <w:rsid w:val="005B147F"/>
    <w:rsid w:val="005B20A5"/>
    <w:rsid w:val="005B5467"/>
    <w:rsid w:val="005C4C63"/>
    <w:rsid w:val="005D28D6"/>
    <w:rsid w:val="005D3610"/>
    <w:rsid w:val="005D42E4"/>
    <w:rsid w:val="005E25F0"/>
    <w:rsid w:val="005E45F1"/>
    <w:rsid w:val="005E7E87"/>
    <w:rsid w:val="005F5401"/>
    <w:rsid w:val="005F6AC2"/>
    <w:rsid w:val="005F7BCA"/>
    <w:rsid w:val="00600BFA"/>
    <w:rsid w:val="00600F1F"/>
    <w:rsid w:val="00602DAD"/>
    <w:rsid w:val="006204B0"/>
    <w:rsid w:val="006309B0"/>
    <w:rsid w:val="00642898"/>
    <w:rsid w:val="0066664E"/>
    <w:rsid w:val="00671A52"/>
    <w:rsid w:val="00680AD1"/>
    <w:rsid w:val="00692C69"/>
    <w:rsid w:val="006936CD"/>
    <w:rsid w:val="006952CA"/>
    <w:rsid w:val="006A13C9"/>
    <w:rsid w:val="006A2503"/>
    <w:rsid w:val="006A5446"/>
    <w:rsid w:val="006B352E"/>
    <w:rsid w:val="006B64AB"/>
    <w:rsid w:val="006C55AF"/>
    <w:rsid w:val="006D0744"/>
    <w:rsid w:val="006D45B0"/>
    <w:rsid w:val="006D5572"/>
    <w:rsid w:val="006D686D"/>
    <w:rsid w:val="006E3754"/>
    <w:rsid w:val="006E5942"/>
    <w:rsid w:val="00706164"/>
    <w:rsid w:val="00707629"/>
    <w:rsid w:val="00713624"/>
    <w:rsid w:val="00730E49"/>
    <w:rsid w:val="00735D55"/>
    <w:rsid w:val="00736960"/>
    <w:rsid w:val="00743847"/>
    <w:rsid w:val="00751B50"/>
    <w:rsid w:val="00757313"/>
    <w:rsid w:val="00757879"/>
    <w:rsid w:val="007611DA"/>
    <w:rsid w:val="0078393A"/>
    <w:rsid w:val="00783E1A"/>
    <w:rsid w:val="007913D3"/>
    <w:rsid w:val="00793E5C"/>
    <w:rsid w:val="007A373A"/>
    <w:rsid w:val="007A4771"/>
    <w:rsid w:val="007B447C"/>
    <w:rsid w:val="007D4118"/>
    <w:rsid w:val="007E2692"/>
    <w:rsid w:val="007F0E40"/>
    <w:rsid w:val="007F26D3"/>
    <w:rsid w:val="0080160A"/>
    <w:rsid w:val="0082739B"/>
    <w:rsid w:val="008277D8"/>
    <w:rsid w:val="00834276"/>
    <w:rsid w:val="0084128C"/>
    <w:rsid w:val="008507A7"/>
    <w:rsid w:val="008522BC"/>
    <w:rsid w:val="0085487D"/>
    <w:rsid w:val="00861FC8"/>
    <w:rsid w:val="00864DB3"/>
    <w:rsid w:val="00867AE5"/>
    <w:rsid w:val="0087079D"/>
    <w:rsid w:val="00870D8A"/>
    <w:rsid w:val="00872CDB"/>
    <w:rsid w:val="008763F7"/>
    <w:rsid w:val="00884896"/>
    <w:rsid w:val="008B39D7"/>
    <w:rsid w:val="008C75D9"/>
    <w:rsid w:val="008E77BE"/>
    <w:rsid w:val="008F4D10"/>
    <w:rsid w:val="008F7E1B"/>
    <w:rsid w:val="00910BC9"/>
    <w:rsid w:val="00914AC1"/>
    <w:rsid w:val="00915C9A"/>
    <w:rsid w:val="00921B68"/>
    <w:rsid w:val="009355B8"/>
    <w:rsid w:val="00935E81"/>
    <w:rsid w:val="009607C8"/>
    <w:rsid w:val="00960A72"/>
    <w:rsid w:val="00963FE0"/>
    <w:rsid w:val="00975895"/>
    <w:rsid w:val="00985BBB"/>
    <w:rsid w:val="00986444"/>
    <w:rsid w:val="00990A24"/>
    <w:rsid w:val="009B4310"/>
    <w:rsid w:val="009B64FE"/>
    <w:rsid w:val="009D5761"/>
    <w:rsid w:val="009D63EA"/>
    <w:rsid w:val="009E52B5"/>
    <w:rsid w:val="009E6F13"/>
    <w:rsid w:val="009F7F7A"/>
    <w:rsid w:val="00A02F58"/>
    <w:rsid w:val="00A14294"/>
    <w:rsid w:val="00A15876"/>
    <w:rsid w:val="00A15D5D"/>
    <w:rsid w:val="00A30921"/>
    <w:rsid w:val="00A50C89"/>
    <w:rsid w:val="00A5751E"/>
    <w:rsid w:val="00A67A4F"/>
    <w:rsid w:val="00A7396A"/>
    <w:rsid w:val="00A73972"/>
    <w:rsid w:val="00A84333"/>
    <w:rsid w:val="00A84658"/>
    <w:rsid w:val="00A9077C"/>
    <w:rsid w:val="00AA28A8"/>
    <w:rsid w:val="00AA4752"/>
    <w:rsid w:val="00AA47C3"/>
    <w:rsid w:val="00AB53B4"/>
    <w:rsid w:val="00AC0823"/>
    <w:rsid w:val="00AD0167"/>
    <w:rsid w:val="00AE561F"/>
    <w:rsid w:val="00AE62DC"/>
    <w:rsid w:val="00AF1C47"/>
    <w:rsid w:val="00B03E2B"/>
    <w:rsid w:val="00B041F7"/>
    <w:rsid w:val="00B064E7"/>
    <w:rsid w:val="00B311D4"/>
    <w:rsid w:val="00B429D7"/>
    <w:rsid w:val="00B543DD"/>
    <w:rsid w:val="00B569EA"/>
    <w:rsid w:val="00B60EE6"/>
    <w:rsid w:val="00B619FB"/>
    <w:rsid w:val="00B67385"/>
    <w:rsid w:val="00B73461"/>
    <w:rsid w:val="00B83A0A"/>
    <w:rsid w:val="00B93390"/>
    <w:rsid w:val="00B93A25"/>
    <w:rsid w:val="00BA58B6"/>
    <w:rsid w:val="00BB393A"/>
    <w:rsid w:val="00BD67E7"/>
    <w:rsid w:val="00C01906"/>
    <w:rsid w:val="00C01983"/>
    <w:rsid w:val="00C037FF"/>
    <w:rsid w:val="00C03968"/>
    <w:rsid w:val="00C05D5B"/>
    <w:rsid w:val="00C16C96"/>
    <w:rsid w:val="00C171DC"/>
    <w:rsid w:val="00C2011B"/>
    <w:rsid w:val="00C2632F"/>
    <w:rsid w:val="00C27AC8"/>
    <w:rsid w:val="00C34A30"/>
    <w:rsid w:val="00C37F33"/>
    <w:rsid w:val="00C42198"/>
    <w:rsid w:val="00C639B1"/>
    <w:rsid w:val="00C76A38"/>
    <w:rsid w:val="00C83EA3"/>
    <w:rsid w:val="00C845A1"/>
    <w:rsid w:val="00C84ABA"/>
    <w:rsid w:val="00CA2C21"/>
    <w:rsid w:val="00CA3626"/>
    <w:rsid w:val="00CA61AF"/>
    <w:rsid w:val="00CB40A4"/>
    <w:rsid w:val="00CC356E"/>
    <w:rsid w:val="00CC5C1C"/>
    <w:rsid w:val="00CC786E"/>
    <w:rsid w:val="00CD3B78"/>
    <w:rsid w:val="00CD6BAE"/>
    <w:rsid w:val="00CD6DB8"/>
    <w:rsid w:val="00CE0517"/>
    <w:rsid w:val="00CF44BB"/>
    <w:rsid w:val="00D22207"/>
    <w:rsid w:val="00D225B2"/>
    <w:rsid w:val="00D23046"/>
    <w:rsid w:val="00D25022"/>
    <w:rsid w:val="00D32386"/>
    <w:rsid w:val="00D328DD"/>
    <w:rsid w:val="00D33979"/>
    <w:rsid w:val="00D36209"/>
    <w:rsid w:val="00D41520"/>
    <w:rsid w:val="00D4194F"/>
    <w:rsid w:val="00D66453"/>
    <w:rsid w:val="00D731DA"/>
    <w:rsid w:val="00D818DF"/>
    <w:rsid w:val="00D933D9"/>
    <w:rsid w:val="00D96960"/>
    <w:rsid w:val="00D969C1"/>
    <w:rsid w:val="00DA5F73"/>
    <w:rsid w:val="00DD1B4A"/>
    <w:rsid w:val="00DD5320"/>
    <w:rsid w:val="00DE069A"/>
    <w:rsid w:val="00DE54CE"/>
    <w:rsid w:val="00DE69DA"/>
    <w:rsid w:val="00DE7CC8"/>
    <w:rsid w:val="00DF0346"/>
    <w:rsid w:val="00DF73FF"/>
    <w:rsid w:val="00E0700D"/>
    <w:rsid w:val="00E16A93"/>
    <w:rsid w:val="00E41B31"/>
    <w:rsid w:val="00E56588"/>
    <w:rsid w:val="00E801D1"/>
    <w:rsid w:val="00E933EE"/>
    <w:rsid w:val="00E95EEF"/>
    <w:rsid w:val="00EA6729"/>
    <w:rsid w:val="00EB0A04"/>
    <w:rsid w:val="00EB2949"/>
    <w:rsid w:val="00EC303E"/>
    <w:rsid w:val="00EC676B"/>
    <w:rsid w:val="00EC6930"/>
    <w:rsid w:val="00ED7D54"/>
    <w:rsid w:val="00EF34EB"/>
    <w:rsid w:val="00EF71D7"/>
    <w:rsid w:val="00F00D41"/>
    <w:rsid w:val="00F0592A"/>
    <w:rsid w:val="00F24852"/>
    <w:rsid w:val="00F25ABF"/>
    <w:rsid w:val="00F26592"/>
    <w:rsid w:val="00F27BAD"/>
    <w:rsid w:val="00F34819"/>
    <w:rsid w:val="00F36912"/>
    <w:rsid w:val="00F509E4"/>
    <w:rsid w:val="00F74EF7"/>
    <w:rsid w:val="00F80C76"/>
    <w:rsid w:val="00F80DA7"/>
    <w:rsid w:val="00F841FA"/>
    <w:rsid w:val="00F90E3C"/>
    <w:rsid w:val="00F96DA2"/>
    <w:rsid w:val="00F975CB"/>
    <w:rsid w:val="00FB3452"/>
    <w:rsid w:val="00FC7864"/>
    <w:rsid w:val="00FD0ACC"/>
    <w:rsid w:val="00FE028F"/>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B8AB1"/>
  <w15:chartTrackingRefBased/>
  <w15:docId w15:val="{557BE723-9A39-49E9-9185-911DDD02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3F7"/>
    <w:pPr>
      <w:widowControl w:val="0"/>
      <w:bidi/>
      <w:spacing w:before="0"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F73F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F73F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F73F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F73F7"/>
    <w:pPr>
      <w:numPr>
        <w:numId w:val="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F73F7"/>
    <w:pPr>
      <w:spacing w:line="259" w:lineRule="auto"/>
      <w:outlineLvl w:val="4"/>
    </w:pPr>
    <w:rPr>
      <w:color w:val="000000" w:themeColor="text1"/>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F73F7"/>
    <w:rPr>
      <w:rFonts w:asciiTheme="majorHAnsi" w:eastAsiaTheme="majorEastAsia" w:hAnsiTheme="majorHAnsi" w:cs="David"/>
      <w:bCs/>
      <w:sz w:val="32"/>
      <w:szCs w:val="36"/>
    </w:rPr>
  </w:style>
  <w:style w:type="paragraph" w:styleId="a3">
    <w:name w:val="Quote"/>
    <w:basedOn w:val="a"/>
    <w:next w:val="a"/>
    <w:link w:val="a4"/>
    <w:uiPriority w:val="29"/>
    <w:qFormat/>
    <w:rsid w:val="003A1D7A"/>
    <w:pPr>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2F73F7"/>
    <w:rPr>
      <w:rFonts w:asciiTheme="majorHAnsi" w:eastAsiaTheme="majorEastAsia" w:hAnsiTheme="majorHAnsi" w:cs="David"/>
      <w:bCs/>
      <w:sz w:val="26"/>
      <w:szCs w:val="36"/>
      <w:u w:val="single"/>
    </w:rPr>
  </w:style>
  <w:style w:type="character" w:customStyle="1" w:styleId="30">
    <w:name w:val="כותרת 3 תו"/>
    <w:basedOn w:val="a0"/>
    <w:link w:val="3"/>
    <w:rsid w:val="002F73F7"/>
    <w:rPr>
      <w:rFonts w:asciiTheme="majorHAnsi" w:eastAsiaTheme="majorEastAsia" w:hAnsiTheme="majorHAnsi" w:cs="David"/>
      <w:sz w:val="24"/>
      <w:szCs w:val="28"/>
      <w:u w:val="double"/>
    </w:rPr>
  </w:style>
  <w:style w:type="character" w:customStyle="1" w:styleId="40">
    <w:name w:val="כותרת 4 תו"/>
    <w:basedOn w:val="a0"/>
    <w:link w:val="4"/>
    <w:uiPriority w:val="9"/>
    <w:rsid w:val="002F73F7"/>
    <w:rPr>
      <w:rFonts w:ascii="David" w:hAnsi="David" w:cs="David"/>
      <w:b/>
      <w:bCs/>
      <w:color w:val="000000" w:themeColor="text1"/>
      <w:sz w:val="24"/>
      <w:szCs w:val="28"/>
    </w:rPr>
  </w:style>
  <w:style w:type="character" w:customStyle="1" w:styleId="50">
    <w:name w:val="כותרת 5 תו"/>
    <w:basedOn w:val="a0"/>
    <w:link w:val="5"/>
    <w:uiPriority w:val="9"/>
    <w:rsid w:val="002F73F7"/>
    <w:rPr>
      <w:rFonts w:ascii="David" w:hAnsi="David" w:cs="David"/>
      <w:color w:val="000000" w:themeColor="text1"/>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unhideWhenUsed/>
    <w:qFormat/>
    <w:rsid w:val="002F73F7"/>
    <w:pPr>
      <w:widowControl/>
      <w:spacing w:before="120" w:after="120"/>
      <w:outlineLvl w:val="9"/>
    </w:pPr>
    <w:rPr>
      <w:rtl/>
      <w:cs/>
    </w:rPr>
  </w:style>
  <w:style w:type="paragraph" w:styleId="TOC3">
    <w:name w:val="toc 3"/>
    <w:basedOn w:val="a"/>
    <w:next w:val="a"/>
    <w:uiPriority w:val="39"/>
    <w:unhideWhenUsed/>
    <w:rsid w:val="002F73F7"/>
    <w:pPr>
      <w:numPr>
        <w:numId w:val="26"/>
      </w:numPr>
      <w:tabs>
        <w:tab w:val="num" w:pos="360"/>
        <w:tab w:val="right" w:leader="dot" w:pos="9629"/>
      </w:tabs>
      <w:spacing w:after="100"/>
      <w:ind w:left="811" w:hanging="357"/>
    </w:pPr>
    <w:rPr>
      <w:szCs w:val="22"/>
    </w:rPr>
  </w:style>
  <w:style w:type="paragraph" w:styleId="TOC1">
    <w:name w:val="toc 1"/>
    <w:basedOn w:val="a"/>
    <w:next w:val="a"/>
    <w:autoRedefine/>
    <w:uiPriority w:val="39"/>
    <w:unhideWhenUsed/>
    <w:rsid w:val="002F73F7"/>
    <w:pPr>
      <w:tabs>
        <w:tab w:val="right" w:leader="dot" w:pos="9629"/>
      </w:tabs>
      <w:spacing w:after="100"/>
    </w:pPr>
    <w:rPr>
      <w:bCs/>
      <w:szCs w:val="22"/>
    </w:rPr>
  </w:style>
  <w:style w:type="paragraph" w:styleId="TOC2">
    <w:name w:val="toc 2"/>
    <w:basedOn w:val="a"/>
    <w:next w:val="a"/>
    <w:uiPriority w:val="39"/>
    <w:unhideWhenUsed/>
    <w:rsid w:val="002F73F7"/>
    <w:pPr>
      <w:tabs>
        <w:tab w:val="right" w:leader="dot" w:pos="9628"/>
      </w:tabs>
      <w:spacing w:after="100"/>
    </w:pPr>
    <w:rPr>
      <w:szCs w:val="22"/>
    </w:rPr>
  </w:style>
  <w:style w:type="paragraph" w:styleId="TOC7">
    <w:name w:val="toc 7"/>
    <w:basedOn w:val="a"/>
    <w:next w:val="a"/>
    <w:autoRedefine/>
    <w:unhideWhenUsed/>
    <w:rsid w:val="002F73F7"/>
    <w:pPr>
      <w:spacing w:after="100"/>
      <w:ind w:left="1020"/>
    </w:pPr>
  </w:style>
  <w:style w:type="paragraph" w:styleId="TOC6">
    <w:name w:val="toc 6"/>
    <w:basedOn w:val="a"/>
    <w:next w:val="a"/>
    <w:autoRedefine/>
    <w:unhideWhenUsed/>
    <w:rsid w:val="002F73F7"/>
    <w:pPr>
      <w:spacing w:after="100"/>
      <w:ind w:left="850"/>
    </w:pPr>
  </w:style>
  <w:style w:type="paragraph" w:styleId="TOC5">
    <w:name w:val="toc 5"/>
    <w:basedOn w:val="a"/>
    <w:next w:val="a"/>
    <w:unhideWhenUsed/>
    <w:rsid w:val="002F73F7"/>
    <w:pPr>
      <w:tabs>
        <w:tab w:val="right" w:leader="dot" w:pos="9628"/>
      </w:tabs>
      <w:spacing w:after="100"/>
      <w:ind w:left="567"/>
    </w:pPr>
    <w:rPr>
      <w:szCs w:val="22"/>
    </w:rPr>
  </w:style>
  <w:style w:type="paragraph" w:styleId="TOC4">
    <w:name w:val="toc 4"/>
    <w:basedOn w:val="a"/>
    <w:next w:val="a"/>
    <w:autoRedefine/>
    <w:uiPriority w:val="39"/>
    <w:unhideWhenUsed/>
    <w:qFormat/>
    <w:rsid w:val="002F73F7"/>
    <w:pPr>
      <w:tabs>
        <w:tab w:val="right" w:leader="dot" w:pos="9628"/>
      </w:tabs>
      <w:spacing w:after="100"/>
      <w:ind w:left="567"/>
    </w:pPr>
    <w:rPr>
      <w:rFonts w:asciiTheme="minorHAnsi" w:eastAsiaTheme="minorEastAsia" w:hAnsiTheme="minorHAnsi"/>
      <w:noProof/>
      <w:sz w:val="22"/>
      <w:szCs w:val="22"/>
    </w:rPr>
  </w:style>
  <w:style w:type="paragraph" w:styleId="a7">
    <w:name w:val="List Paragraph"/>
    <w:basedOn w:val="a"/>
    <w:uiPriority w:val="34"/>
    <w:qFormat/>
    <w:rsid w:val="002F73F7"/>
    <w:pPr>
      <w:widowControl/>
      <w:spacing w:line="259" w:lineRule="auto"/>
    </w:pPr>
    <w:rPr>
      <w:rFonts w:asciiTheme="minorHAnsi" w:hAnsiTheme="minorHAnsi"/>
      <w:sz w:val="22"/>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customStyle="1" w:styleId="TableText">
    <w:name w:val="Table Text"/>
    <w:basedOn w:val="a"/>
    <w:rsid w:val="002F73F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F73F7"/>
    <w:pPr>
      <w:outlineLvl w:val="2"/>
    </w:pPr>
  </w:style>
  <w:style w:type="paragraph" w:customStyle="1" w:styleId="TableBlock">
    <w:name w:val="Table Block"/>
    <w:basedOn w:val="TableText"/>
    <w:rsid w:val="002F73F7"/>
    <w:pPr>
      <w:jc w:val="both"/>
    </w:pPr>
  </w:style>
  <w:style w:type="paragraph" w:customStyle="1" w:styleId="TableHead">
    <w:name w:val="Table Head"/>
    <w:basedOn w:val="TableText"/>
    <w:rsid w:val="002F73F7"/>
    <w:pPr>
      <w:jc w:val="center"/>
      <w:outlineLvl w:val="1"/>
    </w:pPr>
    <w:rPr>
      <w:b/>
      <w:bCs/>
    </w:rPr>
  </w:style>
  <w:style w:type="paragraph" w:customStyle="1" w:styleId="HeadMitparsemetBaze">
    <w:name w:val="Head MitparsemetBaze"/>
    <w:basedOn w:val="a"/>
    <w:rsid w:val="002F73F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F73F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F73F7"/>
    <w:pPr>
      <w:tabs>
        <w:tab w:val="left" w:pos="680"/>
        <w:tab w:val="left" w:pos="1020"/>
      </w:tabs>
      <w:ind w:firstLine="0"/>
    </w:pPr>
  </w:style>
  <w:style w:type="paragraph" w:customStyle="1" w:styleId="HeadDivreiHesber">
    <w:name w:val="Head DivreiHesber"/>
    <w:basedOn w:val="a"/>
    <w:rsid w:val="002F73F7"/>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2F73F7"/>
    <w:pPr>
      <w:spacing w:before="120" w:after="120"/>
    </w:pPr>
    <w:rPr>
      <w:color w:val="FF0000"/>
      <w:w w:val="80"/>
    </w:rPr>
  </w:style>
  <w:style w:type="paragraph" w:styleId="a8">
    <w:name w:val="endnote text"/>
    <w:basedOn w:val="a"/>
    <w:link w:val="a9"/>
    <w:semiHidden/>
    <w:rsid w:val="002F73F7"/>
    <w:pPr>
      <w:ind w:left="227" w:hanging="227"/>
    </w:pPr>
    <w:rPr>
      <w:sz w:val="14"/>
      <w:szCs w:val="22"/>
    </w:rPr>
  </w:style>
  <w:style w:type="character" w:customStyle="1" w:styleId="a9">
    <w:name w:val="טקסט הערת סיום תו"/>
    <w:basedOn w:val="a0"/>
    <w:link w:val="a8"/>
    <w:semiHidden/>
    <w:rsid w:val="008C75D9"/>
    <w:rPr>
      <w:rFonts w:ascii="David" w:hAnsi="David" w:cs="David"/>
      <w:sz w:val="14"/>
    </w:rPr>
  </w:style>
  <w:style w:type="paragraph" w:customStyle="1" w:styleId="TableInnerSideHeading">
    <w:name w:val="Table InnerSideHeading"/>
    <w:basedOn w:val="TableSideHeading"/>
    <w:rsid w:val="002F73F7"/>
    <w:pPr>
      <w:outlineLvl w:val="9"/>
    </w:pPr>
  </w:style>
  <w:style w:type="paragraph" w:customStyle="1" w:styleId="Hesber">
    <w:name w:val="Hesber"/>
    <w:basedOn w:val="a"/>
    <w:rsid w:val="002F73F7"/>
    <w:pPr>
      <w:snapToGrid w:val="0"/>
      <w:ind w:left="0" w:firstLine="340"/>
    </w:pPr>
    <w:rPr>
      <w:rFonts w:ascii="Arial" w:eastAsia="Arial Unicode MS" w:hAnsi="Arial"/>
      <w:snapToGrid w:val="0"/>
      <w:sz w:val="20"/>
      <w:szCs w:val="26"/>
    </w:rPr>
  </w:style>
  <w:style w:type="paragraph" w:styleId="aa">
    <w:name w:val="footnote text"/>
    <w:basedOn w:val="a"/>
    <w:link w:val="ab"/>
    <w:autoRedefine/>
    <w:semiHidden/>
    <w:rsid w:val="002F73F7"/>
    <w:pPr>
      <w:snapToGrid w:val="0"/>
      <w:spacing w:line="240" w:lineRule="auto"/>
      <w:ind w:left="0"/>
      <w:jc w:val="left"/>
    </w:pPr>
    <w:rPr>
      <w:rFonts w:ascii="Arial" w:eastAsia="Arial Unicode MS" w:hAnsi="Arial"/>
      <w:snapToGrid w:val="0"/>
      <w:sz w:val="14"/>
      <w:szCs w:val="20"/>
    </w:rPr>
  </w:style>
  <w:style w:type="character" w:customStyle="1" w:styleId="ab">
    <w:name w:val="טקסט הערת שוליים תו"/>
    <w:basedOn w:val="a0"/>
    <w:link w:val="aa"/>
    <w:semiHidden/>
    <w:rsid w:val="008C75D9"/>
    <w:rPr>
      <w:rFonts w:ascii="Arial" w:eastAsia="Arial Unicode MS" w:hAnsi="Arial" w:cs="David"/>
      <w:snapToGrid w:val="0"/>
      <w:sz w:val="14"/>
      <w:szCs w:val="20"/>
    </w:rPr>
  </w:style>
  <w:style w:type="character" w:styleId="ac">
    <w:name w:val="footnote reference"/>
    <w:basedOn w:val="a0"/>
    <w:semiHidden/>
    <w:rsid w:val="002F73F7"/>
    <w:rPr>
      <w:vertAlign w:val="superscript"/>
    </w:rPr>
  </w:style>
  <w:style w:type="paragraph" w:customStyle="1" w:styleId="HesberHeading">
    <w:name w:val="Hesber Heading"/>
    <w:basedOn w:val="Hesber"/>
    <w:rsid w:val="002F73F7"/>
    <w:pPr>
      <w:tabs>
        <w:tab w:val="left" w:pos="624"/>
        <w:tab w:val="left" w:pos="1247"/>
      </w:tabs>
    </w:pPr>
    <w:rPr>
      <w:b/>
      <w:bCs/>
    </w:rPr>
  </w:style>
  <w:style w:type="paragraph" w:customStyle="1" w:styleId="HesberWriters">
    <w:name w:val="Hesber Writers"/>
    <w:basedOn w:val="Hesber"/>
    <w:rsid w:val="002F73F7"/>
    <w:pPr>
      <w:spacing w:before="120" w:after="120"/>
      <w:ind w:left="1418"/>
      <w:jc w:val="right"/>
    </w:pPr>
    <w:rPr>
      <w:b/>
      <w:bCs/>
    </w:rPr>
  </w:style>
  <w:style w:type="character" w:styleId="ad">
    <w:name w:val="endnote reference"/>
    <w:basedOn w:val="a0"/>
    <w:semiHidden/>
    <w:rsid w:val="002F73F7"/>
    <w:rPr>
      <w:vertAlign w:val="superscript"/>
    </w:rPr>
  </w:style>
  <w:style w:type="paragraph" w:customStyle="1" w:styleId="TableBlockOutdent">
    <w:name w:val="Table BlockOutdent"/>
    <w:basedOn w:val="TableBlock"/>
    <w:rsid w:val="002F73F7"/>
    <w:pPr>
      <w:ind w:left="624" w:hanging="624"/>
    </w:pPr>
  </w:style>
  <w:style w:type="paragraph" w:styleId="ae">
    <w:name w:val="header"/>
    <w:basedOn w:val="a"/>
    <w:link w:val="af"/>
    <w:rsid w:val="002F73F7"/>
    <w:pPr>
      <w:tabs>
        <w:tab w:val="center" w:pos="4153"/>
        <w:tab w:val="right" w:pos="8306"/>
      </w:tabs>
    </w:pPr>
  </w:style>
  <w:style w:type="character" w:customStyle="1" w:styleId="af">
    <w:name w:val="כותרת עליונה תו"/>
    <w:basedOn w:val="a0"/>
    <w:link w:val="ae"/>
    <w:rsid w:val="008C75D9"/>
    <w:rPr>
      <w:rFonts w:ascii="David" w:hAnsi="David" w:cs="David"/>
      <w:sz w:val="24"/>
      <w:szCs w:val="24"/>
    </w:rPr>
  </w:style>
  <w:style w:type="paragraph" w:styleId="af0">
    <w:name w:val="footer"/>
    <w:basedOn w:val="a"/>
    <w:link w:val="af1"/>
    <w:rsid w:val="002F73F7"/>
    <w:pPr>
      <w:tabs>
        <w:tab w:val="center" w:pos="4153"/>
        <w:tab w:val="right" w:pos="8306"/>
      </w:tabs>
    </w:pPr>
  </w:style>
  <w:style w:type="character" w:customStyle="1" w:styleId="af1">
    <w:name w:val="כותרת תחתונה תו"/>
    <w:basedOn w:val="a0"/>
    <w:link w:val="af0"/>
    <w:rsid w:val="008C75D9"/>
    <w:rPr>
      <w:rFonts w:ascii="David" w:hAnsi="David" w:cs="David"/>
      <w:sz w:val="24"/>
      <w:szCs w:val="24"/>
    </w:rPr>
  </w:style>
  <w:style w:type="character" w:styleId="af2">
    <w:name w:val="page number"/>
    <w:basedOn w:val="a0"/>
    <w:rsid w:val="002F73F7"/>
  </w:style>
  <w:style w:type="paragraph" w:customStyle="1" w:styleId="Cover1-Reshumot">
    <w:name w:val="Cover 1-Reshumot"/>
    <w:basedOn w:val="a"/>
    <w:rsid w:val="002F73F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F73F7"/>
    <w:rPr>
      <w:sz w:val="36"/>
      <w:szCs w:val="52"/>
    </w:rPr>
  </w:style>
  <w:style w:type="paragraph" w:customStyle="1" w:styleId="Cover3-Haknesset">
    <w:name w:val="Cover 3-Haknesset"/>
    <w:basedOn w:val="Cover1-Reshumot"/>
    <w:rsid w:val="002F73F7"/>
    <w:rPr>
      <w:b/>
      <w:bCs/>
      <w:spacing w:val="60"/>
    </w:rPr>
  </w:style>
  <w:style w:type="paragraph" w:customStyle="1" w:styleId="Cover4-Date">
    <w:name w:val="Cover 4-Date"/>
    <w:basedOn w:val="a"/>
    <w:rsid w:val="002F73F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F73F7"/>
    <w:pPr>
      <w:snapToGrid w:val="0"/>
      <w:jc w:val="left"/>
    </w:pPr>
    <w:rPr>
      <w:rFonts w:ascii="Arial" w:eastAsia="Arial Unicode MS" w:hAnsi="Arial"/>
      <w:snapToGrid w:val="0"/>
      <w:sz w:val="20"/>
      <w:szCs w:val="26"/>
    </w:rPr>
  </w:style>
  <w:style w:type="character" w:styleId="Hyperlink">
    <w:name w:val="Hyperlink"/>
    <w:basedOn w:val="a0"/>
    <w:uiPriority w:val="99"/>
    <w:unhideWhenUsed/>
    <w:rsid w:val="002F73F7"/>
    <w:rPr>
      <w:color w:val="0000FF" w:themeColor="hyperlink"/>
      <w:u w:val="single"/>
    </w:rPr>
  </w:style>
  <w:style w:type="paragraph" w:styleId="TOC8">
    <w:name w:val="toc 8"/>
    <w:basedOn w:val="a"/>
    <w:next w:val="a"/>
    <w:autoRedefine/>
    <w:semiHidden/>
    <w:unhideWhenUsed/>
    <w:rsid w:val="002F73F7"/>
    <w:pPr>
      <w:spacing w:after="100"/>
      <w:ind w:left="1190"/>
    </w:pPr>
  </w:style>
  <w:style w:type="paragraph" w:styleId="TOC9">
    <w:name w:val="toc 9"/>
    <w:basedOn w:val="a"/>
    <w:next w:val="a"/>
    <w:autoRedefine/>
    <w:semiHidden/>
    <w:unhideWhenUsed/>
    <w:rsid w:val="002F73F7"/>
    <w:pPr>
      <w:spacing w:after="100"/>
      <w:ind w:left="1360"/>
    </w:pPr>
  </w:style>
  <w:style w:type="paragraph" w:customStyle="1" w:styleId="TableHead2">
    <w:name w:val="Table Head2"/>
    <w:basedOn w:val="TableHead"/>
    <w:qFormat/>
    <w:rsid w:val="002F73F7"/>
    <w:pPr>
      <w:outlineLvl w:val="9"/>
    </w:pPr>
  </w:style>
  <w:style w:type="paragraph" w:customStyle="1" w:styleId="TableSideHeading2">
    <w:name w:val="Table SideHeading2"/>
    <w:basedOn w:val="TableSideHeading"/>
    <w:autoRedefine/>
    <w:qFormat/>
    <w:rsid w:val="002F73F7"/>
    <w:pPr>
      <w:keepLines w:val="0"/>
      <w:outlineLvl w:val="9"/>
    </w:pPr>
  </w:style>
  <w:style w:type="paragraph" w:customStyle="1" w:styleId="0">
    <w:name w:val="סגנון שורה ראשונה:  0  ס''מ"/>
    <w:basedOn w:val="2"/>
    <w:rsid w:val="002F73F7"/>
    <w:rPr>
      <w:rFonts w:eastAsia="Times New Roman"/>
    </w:rPr>
  </w:style>
  <w:style w:type="table" w:styleId="af3">
    <w:name w:val="Table Grid"/>
    <w:basedOn w:val="a1"/>
    <w:rsid w:val="002F73F7"/>
    <w:pPr>
      <w:spacing w:before="0"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F73F7"/>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F73F7"/>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2F73F7"/>
    <w:pPr>
      <w:spacing w:before="0"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F73F7"/>
    <w:pPr>
      <w:spacing w:before="0"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5">
    <w:name w:val="annotation reference"/>
    <w:basedOn w:val="a0"/>
    <w:uiPriority w:val="99"/>
    <w:semiHidden/>
    <w:unhideWhenUsed/>
    <w:rsid w:val="00372A08"/>
    <w:rPr>
      <w:sz w:val="16"/>
      <w:szCs w:val="16"/>
    </w:rPr>
  </w:style>
  <w:style w:type="paragraph" w:styleId="af6">
    <w:name w:val="annotation text"/>
    <w:basedOn w:val="a"/>
    <w:link w:val="af7"/>
    <w:uiPriority w:val="99"/>
    <w:semiHidden/>
    <w:unhideWhenUsed/>
    <w:rsid w:val="00372A08"/>
    <w:pPr>
      <w:spacing w:line="240" w:lineRule="auto"/>
    </w:pPr>
    <w:rPr>
      <w:sz w:val="20"/>
      <w:szCs w:val="20"/>
    </w:rPr>
  </w:style>
  <w:style w:type="character" w:customStyle="1" w:styleId="af7">
    <w:name w:val="טקסט הערה תו"/>
    <w:basedOn w:val="a0"/>
    <w:link w:val="af6"/>
    <w:uiPriority w:val="99"/>
    <w:semiHidden/>
    <w:rsid w:val="00372A08"/>
    <w:rPr>
      <w:rFonts w:ascii="David" w:hAnsi="David" w:cs="David"/>
      <w:sz w:val="20"/>
      <w:szCs w:val="20"/>
    </w:rPr>
  </w:style>
  <w:style w:type="paragraph" w:styleId="af8">
    <w:name w:val="annotation subject"/>
    <w:basedOn w:val="af6"/>
    <w:next w:val="af6"/>
    <w:link w:val="af9"/>
    <w:uiPriority w:val="99"/>
    <w:semiHidden/>
    <w:unhideWhenUsed/>
    <w:rsid w:val="00372A08"/>
    <w:rPr>
      <w:b/>
      <w:bCs/>
    </w:rPr>
  </w:style>
  <w:style w:type="character" w:customStyle="1" w:styleId="af9">
    <w:name w:val="נושא הערה תו"/>
    <w:basedOn w:val="af7"/>
    <w:link w:val="af8"/>
    <w:uiPriority w:val="99"/>
    <w:semiHidden/>
    <w:rsid w:val="00372A08"/>
    <w:rPr>
      <w:rFonts w:ascii="David" w:hAnsi="David" w:cs="David"/>
      <w:b/>
      <w:bCs/>
      <w:sz w:val="20"/>
      <w:szCs w:val="20"/>
    </w:rPr>
  </w:style>
  <w:style w:type="paragraph" w:styleId="afa">
    <w:name w:val="Balloon Text"/>
    <w:basedOn w:val="a"/>
    <w:link w:val="afb"/>
    <w:uiPriority w:val="99"/>
    <w:semiHidden/>
    <w:unhideWhenUsed/>
    <w:rsid w:val="00372A08"/>
    <w:pPr>
      <w:spacing w:line="240" w:lineRule="auto"/>
    </w:pPr>
    <w:rPr>
      <w:rFonts w:ascii="Tahoma" w:hAnsi="Tahoma" w:cs="Tahoma"/>
      <w:sz w:val="18"/>
      <w:szCs w:val="18"/>
    </w:rPr>
  </w:style>
  <w:style w:type="character" w:customStyle="1" w:styleId="afb">
    <w:name w:val="טקסט בלונים תו"/>
    <w:basedOn w:val="a0"/>
    <w:link w:val="afa"/>
    <w:uiPriority w:val="99"/>
    <w:semiHidden/>
    <w:rsid w:val="00372A0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5507">
      <w:bodyDiv w:val="1"/>
      <w:marLeft w:val="0"/>
      <w:marRight w:val="0"/>
      <w:marTop w:val="0"/>
      <w:marBottom w:val="0"/>
      <w:divBdr>
        <w:top w:val="none" w:sz="0" w:space="0" w:color="auto"/>
        <w:left w:val="none" w:sz="0" w:space="0" w:color="auto"/>
        <w:bottom w:val="none" w:sz="0" w:space="0" w:color="auto"/>
        <w:right w:val="none" w:sz="0" w:space="0" w:color="auto"/>
      </w:divBdr>
    </w:div>
    <w:div w:id="1025666917">
      <w:bodyDiv w:val="1"/>
      <w:marLeft w:val="0"/>
      <w:marRight w:val="0"/>
      <w:marTop w:val="0"/>
      <w:marBottom w:val="0"/>
      <w:divBdr>
        <w:top w:val="none" w:sz="0" w:space="0" w:color="auto"/>
        <w:left w:val="none" w:sz="0" w:space="0" w:color="auto"/>
        <w:bottom w:val="none" w:sz="0" w:space="0" w:color="auto"/>
        <w:right w:val="none" w:sz="0" w:space="0" w:color="auto"/>
      </w:divBdr>
    </w:div>
    <w:div w:id="18590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2405</Words>
  <Characters>12027</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 מר</dc:creator>
  <cp:keywords/>
  <dc:description/>
  <cp:lastModifiedBy>רוני מר</cp:lastModifiedBy>
  <cp:revision>7</cp:revision>
  <cp:lastPrinted>2023-11-29T10:58:00Z</cp:lastPrinted>
  <dcterms:created xsi:type="dcterms:W3CDTF">2023-12-07T16:25:00Z</dcterms:created>
  <dcterms:modified xsi:type="dcterms:W3CDTF">2023-12-07T16:31:00Z</dcterms:modified>
</cp:coreProperties>
</file>