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BB6C5" w14:textId="1914B06C" w:rsidR="00E94E9C" w:rsidRPr="00E94E9C" w:rsidRDefault="00E94E9C" w:rsidP="00E94E9C">
      <w:pPr>
        <w:spacing w:line="360" w:lineRule="auto"/>
        <w:jc w:val="right"/>
        <w:rPr>
          <w:rFonts w:ascii="David" w:hAnsi="David" w:cs="David"/>
          <w:sz w:val="24"/>
          <w:szCs w:val="24"/>
          <w:rtl/>
        </w:rPr>
      </w:pPr>
      <w:r>
        <w:rPr>
          <w:rFonts w:ascii="David" w:hAnsi="David" w:cs="David" w:hint="cs"/>
          <w:sz w:val="24"/>
          <w:szCs w:val="24"/>
          <w:rtl/>
        </w:rPr>
        <w:t>אוגוסט 2024</w:t>
      </w:r>
    </w:p>
    <w:p w14:paraId="1F72E949" w14:textId="77777777" w:rsidR="00E94E9C" w:rsidRDefault="00E94E9C" w:rsidP="0008486E">
      <w:pPr>
        <w:spacing w:line="360" w:lineRule="auto"/>
        <w:jc w:val="center"/>
        <w:rPr>
          <w:rFonts w:ascii="David" w:hAnsi="David" w:cs="David"/>
          <w:b/>
          <w:bCs/>
          <w:sz w:val="24"/>
          <w:szCs w:val="24"/>
          <w:rtl/>
        </w:rPr>
      </w:pPr>
    </w:p>
    <w:p w14:paraId="32A10D23" w14:textId="55EA68D9" w:rsidR="0008486E" w:rsidRPr="009F6891" w:rsidRDefault="0008486E" w:rsidP="009F6891">
      <w:pPr>
        <w:pStyle w:val="Heading1"/>
        <w:jc w:val="center"/>
        <w:rPr>
          <w:rFonts w:ascii="David" w:hAnsi="David" w:cs="David"/>
          <w:b/>
          <w:bCs/>
          <w:color w:val="auto"/>
          <w:sz w:val="28"/>
          <w:szCs w:val="28"/>
          <w:rtl/>
        </w:rPr>
      </w:pPr>
      <w:r w:rsidRPr="009F6891">
        <w:rPr>
          <w:rFonts w:ascii="David" w:hAnsi="David" w:cs="David"/>
          <w:b/>
          <w:bCs/>
          <w:color w:val="auto"/>
          <w:sz w:val="28"/>
          <w:szCs w:val="28"/>
          <w:rtl/>
        </w:rPr>
        <w:t>הנחיה לעניין הוראות תחילה ומעבר – חוק הגנת הסביבה (ייעול הליכי רישוי סביבתי)(תיקוני חקיקה), התשפ"ד-2024</w:t>
      </w:r>
    </w:p>
    <w:p w14:paraId="760417C9" w14:textId="77777777" w:rsidR="0008486E" w:rsidRDefault="0008486E" w:rsidP="00E23A7E">
      <w:pPr>
        <w:spacing w:line="360" w:lineRule="auto"/>
        <w:jc w:val="both"/>
        <w:rPr>
          <w:rFonts w:ascii="David" w:hAnsi="David" w:cs="David"/>
          <w:sz w:val="24"/>
          <w:szCs w:val="24"/>
          <w:rtl/>
        </w:rPr>
      </w:pPr>
    </w:p>
    <w:p w14:paraId="70977133" w14:textId="2BCB8F07" w:rsidR="002069BF" w:rsidRDefault="002069BF" w:rsidP="00E23A7E">
      <w:pPr>
        <w:spacing w:line="360" w:lineRule="auto"/>
        <w:jc w:val="both"/>
        <w:rPr>
          <w:rFonts w:ascii="David" w:hAnsi="David" w:cs="David"/>
          <w:sz w:val="24"/>
          <w:szCs w:val="24"/>
          <w:rtl/>
        </w:rPr>
      </w:pPr>
      <w:r>
        <w:rPr>
          <w:rFonts w:ascii="David" w:hAnsi="David" w:cs="David" w:hint="cs"/>
          <w:sz w:val="24"/>
          <w:szCs w:val="24"/>
          <w:rtl/>
        </w:rPr>
        <w:t xml:space="preserve">ביום 16.4.24, פורסם </w:t>
      </w:r>
      <w:r w:rsidRPr="002069BF">
        <w:rPr>
          <w:rFonts w:ascii="David" w:hAnsi="David" w:cs="David" w:hint="cs"/>
          <w:sz w:val="24"/>
          <w:szCs w:val="24"/>
          <w:rtl/>
        </w:rPr>
        <w:t>ברשומות</w:t>
      </w:r>
      <w:r w:rsidR="000D2FDE">
        <w:rPr>
          <w:rStyle w:val="FootnoteReference"/>
          <w:rFonts w:ascii="David" w:hAnsi="David" w:cs="David"/>
          <w:sz w:val="24"/>
          <w:szCs w:val="24"/>
          <w:rtl/>
        </w:rPr>
        <w:footnoteReference w:id="1"/>
      </w:r>
      <w:r w:rsidRPr="002069BF">
        <w:rPr>
          <w:rFonts w:ascii="David" w:hAnsi="David" w:cs="David" w:hint="cs"/>
          <w:sz w:val="24"/>
          <w:szCs w:val="24"/>
          <w:rtl/>
        </w:rPr>
        <w:t xml:space="preserve"> חוק הגנת הסביבה (ייעול הליכי רישוי סביבתי)(תיקוני חקיקה), התשפ"ד</w:t>
      </w:r>
      <w:r w:rsidR="003D61DF">
        <w:rPr>
          <w:rFonts w:ascii="David" w:hAnsi="David" w:cs="David" w:hint="cs"/>
          <w:sz w:val="24"/>
          <w:szCs w:val="24"/>
          <w:rtl/>
        </w:rPr>
        <w:t>-</w:t>
      </w:r>
      <w:r w:rsidRPr="002069BF">
        <w:rPr>
          <w:rFonts w:ascii="David" w:hAnsi="David" w:cs="David" w:hint="cs"/>
          <w:sz w:val="24"/>
          <w:szCs w:val="24"/>
          <w:rtl/>
        </w:rPr>
        <w:t>2024</w:t>
      </w:r>
      <w:r w:rsidR="00FA3624">
        <w:rPr>
          <w:rFonts w:ascii="David" w:hAnsi="David" w:cs="David" w:hint="cs"/>
          <w:sz w:val="24"/>
          <w:szCs w:val="24"/>
          <w:rtl/>
        </w:rPr>
        <w:t xml:space="preserve"> (להלן </w:t>
      </w:r>
      <w:r w:rsidR="00FA3624">
        <w:rPr>
          <w:rFonts w:ascii="David" w:hAnsi="David" w:cs="David"/>
          <w:sz w:val="24"/>
          <w:szCs w:val="24"/>
          <w:rtl/>
        </w:rPr>
        <w:t>–</w:t>
      </w:r>
      <w:r w:rsidR="00FA3624">
        <w:rPr>
          <w:rFonts w:ascii="David" w:hAnsi="David" w:cs="David" w:hint="cs"/>
          <w:sz w:val="24"/>
          <w:szCs w:val="24"/>
          <w:rtl/>
        </w:rPr>
        <w:t xml:space="preserve"> חוק ייעול הליכי רישוי סביבתי)</w:t>
      </w:r>
      <w:r>
        <w:rPr>
          <w:rFonts w:ascii="David" w:hAnsi="David" w:cs="David" w:hint="cs"/>
          <w:sz w:val="24"/>
          <w:szCs w:val="24"/>
          <w:rtl/>
        </w:rPr>
        <w:t xml:space="preserve">, שעניינו בתיקון חוק אוויר נקי, התשס"ח </w:t>
      </w:r>
      <w:r w:rsidR="003D61DF">
        <w:rPr>
          <w:rFonts w:ascii="David" w:hAnsi="David" w:cs="David" w:hint="cs"/>
          <w:sz w:val="24"/>
          <w:szCs w:val="24"/>
          <w:rtl/>
        </w:rPr>
        <w:t>-</w:t>
      </w:r>
      <w:r>
        <w:rPr>
          <w:rFonts w:ascii="David" w:hAnsi="David" w:cs="David" w:hint="cs"/>
          <w:sz w:val="24"/>
          <w:szCs w:val="24"/>
          <w:rtl/>
        </w:rPr>
        <w:t xml:space="preserve">2008 (להלן </w:t>
      </w:r>
      <w:r>
        <w:rPr>
          <w:rFonts w:ascii="David" w:hAnsi="David" w:cs="David"/>
          <w:sz w:val="24"/>
          <w:szCs w:val="24"/>
          <w:rtl/>
        </w:rPr>
        <w:t>–</w:t>
      </w:r>
      <w:r>
        <w:rPr>
          <w:rFonts w:ascii="David" w:hAnsi="David" w:cs="David" w:hint="cs"/>
          <w:sz w:val="24"/>
          <w:szCs w:val="24"/>
          <w:rtl/>
        </w:rPr>
        <w:t xml:space="preserve"> חוק אוויר נקי) וחוק החומרים המסוכנים, התשנ"ג</w:t>
      </w:r>
      <w:r w:rsidR="003D61DF">
        <w:rPr>
          <w:rFonts w:ascii="David" w:hAnsi="David" w:cs="David" w:hint="cs"/>
          <w:sz w:val="24"/>
          <w:szCs w:val="24"/>
          <w:rtl/>
        </w:rPr>
        <w:t>-</w:t>
      </w:r>
      <w:r>
        <w:rPr>
          <w:rFonts w:ascii="David" w:hAnsi="David" w:cs="David" w:hint="cs"/>
          <w:sz w:val="24"/>
          <w:szCs w:val="24"/>
          <w:rtl/>
        </w:rPr>
        <w:t xml:space="preserve">1993 (להלן </w:t>
      </w:r>
      <w:r>
        <w:rPr>
          <w:rFonts w:ascii="David" w:hAnsi="David" w:cs="David"/>
          <w:sz w:val="24"/>
          <w:szCs w:val="24"/>
          <w:rtl/>
        </w:rPr>
        <w:t>–</w:t>
      </w:r>
      <w:r>
        <w:rPr>
          <w:rFonts w:ascii="David" w:hAnsi="David" w:cs="David" w:hint="cs"/>
          <w:sz w:val="24"/>
          <w:szCs w:val="24"/>
          <w:rtl/>
        </w:rPr>
        <w:t xml:space="preserve"> חוק החומרים המסוכנים). </w:t>
      </w:r>
      <w:r w:rsidR="00A72AEB">
        <w:rPr>
          <w:rFonts w:ascii="David" w:hAnsi="David" w:cs="David" w:hint="cs"/>
          <w:sz w:val="24"/>
          <w:szCs w:val="24"/>
          <w:rtl/>
        </w:rPr>
        <w:t>מטרת תיקוני</w:t>
      </w:r>
      <w:r w:rsidR="004A2522">
        <w:rPr>
          <w:rFonts w:ascii="David" w:hAnsi="David" w:cs="David" w:hint="cs"/>
          <w:sz w:val="24"/>
          <w:szCs w:val="24"/>
          <w:rtl/>
        </w:rPr>
        <w:t xml:space="preserve"> החקיקה</w:t>
      </w:r>
      <w:r w:rsidR="00A72AEB">
        <w:rPr>
          <w:rFonts w:ascii="David" w:hAnsi="David" w:cs="David" w:hint="cs"/>
          <w:sz w:val="24"/>
          <w:szCs w:val="24"/>
          <w:rtl/>
        </w:rPr>
        <w:t xml:space="preserve"> לטייב ולייעל את מערכי הרישוי הקיימים הן בפן הרגולטורי הן בפן הסביבתי</w:t>
      </w:r>
      <w:r w:rsidR="004A2522">
        <w:rPr>
          <w:rFonts w:ascii="David" w:hAnsi="David" w:cs="David" w:hint="cs"/>
          <w:sz w:val="24"/>
          <w:szCs w:val="24"/>
          <w:rtl/>
        </w:rPr>
        <w:t>,</w:t>
      </w:r>
      <w:r w:rsidR="00A72AEB">
        <w:rPr>
          <w:rFonts w:ascii="David" w:hAnsi="David" w:cs="David" w:hint="cs"/>
          <w:sz w:val="24"/>
          <w:szCs w:val="24"/>
          <w:rtl/>
        </w:rPr>
        <w:t xml:space="preserve"> באמצעות רפורמה כוללת המבוססת על התאמה לסטנדרטים המקובלים באיחוד האירופי. במסגרת החקיקה תוקנו הסדרי הרישוי בחוק אוויר נקי ובחוק החומרים המסוכנים באופן שהליכי הרישוי אוחדו</w:t>
      </w:r>
      <w:r w:rsidR="004A2522">
        <w:rPr>
          <w:rFonts w:ascii="David" w:hAnsi="David" w:cs="David" w:hint="cs"/>
          <w:sz w:val="24"/>
          <w:szCs w:val="24"/>
          <w:rtl/>
        </w:rPr>
        <w:t>,</w:t>
      </w:r>
      <w:r w:rsidR="00A72AEB">
        <w:rPr>
          <w:rFonts w:ascii="David" w:hAnsi="David" w:cs="David" w:hint="cs"/>
          <w:sz w:val="24"/>
          <w:szCs w:val="24"/>
          <w:rtl/>
        </w:rPr>
        <w:t xml:space="preserve"> כך שיינתן היתר סביבתי אחוד לפעילות בעלת פוטנציאל לגרום להשפעה סביבתית ניכרת, </w:t>
      </w:r>
      <w:r w:rsidR="004A2522">
        <w:rPr>
          <w:rFonts w:ascii="David" w:hAnsi="David" w:cs="David" w:hint="cs"/>
          <w:sz w:val="24"/>
          <w:szCs w:val="24"/>
          <w:rtl/>
        </w:rPr>
        <w:t>ובאופן שבהיתר י</w:t>
      </w:r>
      <w:r w:rsidR="00A72AEB">
        <w:rPr>
          <w:rFonts w:ascii="David" w:hAnsi="David" w:cs="David" w:hint="cs"/>
          <w:sz w:val="24"/>
          <w:szCs w:val="24"/>
          <w:rtl/>
        </w:rPr>
        <w:t xml:space="preserve">יכללו גם היבטים המוסדרים כיום </w:t>
      </w:r>
      <w:r w:rsidR="004A2522">
        <w:rPr>
          <w:rFonts w:ascii="David" w:hAnsi="David" w:cs="David" w:hint="cs"/>
          <w:sz w:val="24"/>
          <w:szCs w:val="24"/>
          <w:rtl/>
        </w:rPr>
        <w:t xml:space="preserve">בתנאי רישיון עסק </w:t>
      </w:r>
      <w:r w:rsidR="00A72AEB">
        <w:rPr>
          <w:rFonts w:ascii="David" w:hAnsi="David" w:cs="David" w:hint="cs"/>
          <w:sz w:val="24"/>
          <w:szCs w:val="24"/>
          <w:rtl/>
        </w:rPr>
        <w:t>לפי חוק רישוי עסקים</w:t>
      </w:r>
      <w:r w:rsidR="004A2522">
        <w:rPr>
          <w:rFonts w:ascii="David" w:hAnsi="David" w:cs="David" w:hint="cs"/>
          <w:sz w:val="24"/>
          <w:szCs w:val="24"/>
          <w:rtl/>
        </w:rPr>
        <w:t>, התשכ"ח-1968</w:t>
      </w:r>
      <w:r w:rsidR="00AA240F">
        <w:rPr>
          <w:rFonts w:ascii="David" w:hAnsi="David" w:cs="David" w:hint="cs"/>
          <w:sz w:val="24"/>
          <w:szCs w:val="24"/>
          <w:rtl/>
        </w:rPr>
        <w:t xml:space="preserve"> (להלן </w:t>
      </w:r>
      <w:r w:rsidR="00AA240F">
        <w:rPr>
          <w:rFonts w:ascii="David" w:hAnsi="David" w:cs="David"/>
          <w:sz w:val="24"/>
          <w:szCs w:val="24"/>
          <w:rtl/>
        </w:rPr>
        <w:t>–</w:t>
      </w:r>
      <w:r w:rsidR="00AA240F">
        <w:rPr>
          <w:rFonts w:ascii="David" w:hAnsi="David" w:cs="David" w:hint="cs"/>
          <w:sz w:val="24"/>
          <w:szCs w:val="24"/>
          <w:rtl/>
        </w:rPr>
        <w:t xml:space="preserve"> חוק רישוי עסקים)</w:t>
      </w:r>
      <w:r w:rsidR="00A72AEB">
        <w:rPr>
          <w:rFonts w:ascii="David" w:hAnsi="David" w:cs="David" w:hint="cs"/>
          <w:sz w:val="24"/>
          <w:szCs w:val="24"/>
          <w:rtl/>
        </w:rPr>
        <w:t xml:space="preserve">. </w:t>
      </w:r>
    </w:p>
    <w:p w14:paraId="3B00BA8E" w14:textId="77777777" w:rsidR="005779C9" w:rsidRDefault="005779C9" w:rsidP="00112750">
      <w:pPr>
        <w:spacing w:line="360" w:lineRule="auto"/>
        <w:jc w:val="both"/>
        <w:rPr>
          <w:rFonts w:ascii="David" w:hAnsi="David" w:cs="David"/>
          <w:sz w:val="24"/>
          <w:szCs w:val="24"/>
          <w:rtl/>
        </w:rPr>
      </w:pPr>
    </w:p>
    <w:p w14:paraId="794FA2BE" w14:textId="105F72F5" w:rsidR="00A72AEB" w:rsidRPr="00DD77A0" w:rsidRDefault="00A72AEB" w:rsidP="00112750">
      <w:pPr>
        <w:spacing w:line="360" w:lineRule="auto"/>
        <w:jc w:val="both"/>
        <w:rPr>
          <w:rFonts w:ascii="David" w:hAnsi="David" w:cs="David"/>
          <w:sz w:val="24"/>
          <w:szCs w:val="24"/>
          <w:rtl/>
        </w:rPr>
      </w:pPr>
      <w:r w:rsidRPr="005779C9">
        <w:rPr>
          <w:rFonts w:ascii="David" w:hAnsi="David" w:cs="David" w:hint="cs"/>
          <w:sz w:val="24"/>
          <w:szCs w:val="24"/>
          <w:rtl/>
        </w:rPr>
        <w:t xml:space="preserve">יישום הרפורמה ייעשה באופן מדורג בהתאם להוראות תחילה ומעבר שנקבעו לעניין זה בחקיקה. </w:t>
      </w:r>
      <w:r w:rsidR="00112750" w:rsidRPr="005779C9">
        <w:rPr>
          <w:rFonts w:ascii="David" w:hAnsi="David" w:cs="David" w:hint="cs"/>
          <w:b/>
          <w:bCs/>
          <w:sz w:val="24"/>
          <w:szCs w:val="24"/>
          <w:rtl/>
        </w:rPr>
        <w:t xml:space="preserve">מסמך זה אינו מציג את הוראות החוק הנכנסות לתוקף ביום הקובע 1.1.27, אלא </w:t>
      </w:r>
      <w:r w:rsidR="00AA240F">
        <w:rPr>
          <w:rFonts w:ascii="David" w:hAnsi="David" w:cs="David" w:hint="cs"/>
          <w:b/>
          <w:bCs/>
          <w:sz w:val="24"/>
          <w:szCs w:val="24"/>
          <w:rtl/>
        </w:rPr>
        <w:t>ממו</w:t>
      </w:r>
      <w:r w:rsidR="003D61DF">
        <w:rPr>
          <w:rFonts w:ascii="David" w:hAnsi="David" w:cs="David" w:hint="cs"/>
          <w:b/>
          <w:bCs/>
          <w:sz w:val="24"/>
          <w:szCs w:val="24"/>
          <w:rtl/>
        </w:rPr>
        <w:t>ּ</w:t>
      </w:r>
      <w:r w:rsidR="00AA240F">
        <w:rPr>
          <w:rFonts w:ascii="David" w:hAnsi="David" w:cs="David" w:hint="cs"/>
          <w:b/>
          <w:bCs/>
          <w:sz w:val="24"/>
          <w:szCs w:val="24"/>
          <w:rtl/>
        </w:rPr>
        <w:t xml:space="preserve">קד </w:t>
      </w:r>
      <w:r w:rsidR="00112750" w:rsidRPr="005779C9">
        <w:rPr>
          <w:rFonts w:ascii="David" w:hAnsi="David" w:cs="David" w:hint="cs"/>
          <w:b/>
          <w:bCs/>
          <w:sz w:val="24"/>
          <w:szCs w:val="24"/>
          <w:rtl/>
        </w:rPr>
        <w:t>בעיקרי הוראות התחילה והמעבר בלבד</w:t>
      </w:r>
      <w:r w:rsidR="00AA240F">
        <w:rPr>
          <w:rFonts w:ascii="David" w:hAnsi="David" w:cs="David" w:hint="cs"/>
          <w:b/>
          <w:bCs/>
          <w:sz w:val="24"/>
          <w:szCs w:val="24"/>
          <w:rtl/>
        </w:rPr>
        <w:t xml:space="preserve"> החל מיום 1.9.24</w:t>
      </w:r>
      <w:r w:rsidR="00112750" w:rsidRPr="005779C9">
        <w:rPr>
          <w:rFonts w:ascii="David" w:hAnsi="David" w:cs="David" w:hint="cs"/>
          <w:b/>
          <w:bCs/>
          <w:sz w:val="24"/>
          <w:szCs w:val="24"/>
          <w:rtl/>
        </w:rPr>
        <w:t xml:space="preserve">, </w:t>
      </w:r>
      <w:r w:rsidR="00AA240F">
        <w:rPr>
          <w:rFonts w:ascii="David" w:hAnsi="David" w:cs="David" w:hint="cs"/>
          <w:sz w:val="24"/>
          <w:szCs w:val="24"/>
          <w:rtl/>
        </w:rPr>
        <w:t xml:space="preserve">וזאת </w:t>
      </w:r>
      <w:r w:rsidR="003D61DF">
        <w:rPr>
          <w:rFonts w:ascii="David" w:hAnsi="David" w:cs="David" w:hint="cs"/>
          <w:sz w:val="24"/>
          <w:szCs w:val="24"/>
          <w:rtl/>
        </w:rPr>
        <w:t>כדי</w:t>
      </w:r>
      <w:r w:rsidRPr="005779C9">
        <w:rPr>
          <w:rFonts w:ascii="David" w:hAnsi="David" w:cs="David" w:hint="cs"/>
          <w:sz w:val="24"/>
          <w:szCs w:val="24"/>
          <w:rtl/>
        </w:rPr>
        <w:t xml:space="preserve"> לסייע לגורמים העוסקים ביישום החקיקה ולגורמים המפוקחים</w:t>
      </w:r>
      <w:r w:rsidR="00112750" w:rsidRPr="00DD77A0">
        <w:rPr>
          <w:rFonts w:ascii="David" w:hAnsi="David" w:cs="David" w:hint="cs"/>
          <w:sz w:val="24"/>
          <w:szCs w:val="24"/>
          <w:rtl/>
        </w:rPr>
        <w:t>.</w:t>
      </w:r>
      <w:r w:rsidRPr="005779C9">
        <w:rPr>
          <w:rFonts w:ascii="David" w:hAnsi="David" w:cs="David" w:hint="cs"/>
          <w:sz w:val="24"/>
          <w:szCs w:val="24"/>
          <w:rtl/>
        </w:rPr>
        <w:t xml:space="preserve"> </w:t>
      </w:r>
    </w:p>
    <w:p w14:paraId="118F7D82" w14:textId="296A23F4" w:rsidR="00A91E42" w:rsidRPr="005779C9" w:rsidRDefault="00A91E42" w:rsidP="00112750">
      <w:pPr>
        <w:spacing w:line="360" w:lineRule="auto"/>
        <w:jc w:val="both"/>
        <w:rPr>
          <w:rFonts w:ascii="David" w:hAnsi="David" w:cs="David"/>
          <w:sz w:val="24"/>
          <w:szCs w:val="24"/>
          <w:rtl/>
        </w:rPr>
      </w:pPr>
      <w:r w:rsidRPr="00DD77A0">
        <w:rPr>
          <w:rFonts w:ascii="David" w:hAnsi="David" w:cs="David" w:hint="cs"/>
          <w:sz w:val="24"/>
          <w:szCs w:val="24"/>
          <w:rtl/>
        </w:rPr>
        <w:t xml:space="preserve">במסמך יוצגו הוראות התחילה ביחס לחוק החומרים המסוכנים וחוק אוויר נקי, כפי שנקבעו בחוק ייעול הליכי רישוי סביבתי, ולאחר מכן יוצגו הוראות המעבר כפי שנקבעו בכל אחד מהחוקים בנפרד. </w:t>
      </w:r>
    </w:p>
    <w:p w14:paraId="01F4171F" w14:textId="77777777" w:rsidR="002069BF" w:rsidRDefault="002069BF" w:rsidP="00E23A7E">
      <w:pPr>
        <w:spacing w:line="360" w:lineRule="auto"/>
        <w:jc w:val="both"/>
        <w:rPr>
          <w:rFonts w:ascii="David" w:hAnsi="David" w:cs="David"/>
          <w:sz w:val="24"/>
          <w:szCs w:val="24"/>
          <w:rtl/>
        </w:rPr>
      </w:pPr>
    </w:p>
    <w:p w14:paraId="0686E305" w14:textId="19B27C01" w:rsidR="002069BF" w:rsidRPr="003D61DF" w:rsidRDefault="00031659" w:rsidP="00E23A7E">
      <w:pPr>
        <w:spacing w:line="360" w:lineRule="auto"/>
        <w:jc w:val="both"/>
        <w:rPr>
          <w:rFonts w:ascii="David" w:hAnsi="David" w:cs="David"/>
          <w:b/>
          <w:bCs/>
          <w:sz w:val="24"/>
          <w:szCs w:val="24"/>
          <w:rtl/>
        </w:rPr>
      </w:pPr>
      <w:r w:rsidRPr="003D61DF">
        <w:rPr>
          <w:rFonts w:ascii="David" w:hAnsi="David" w:cs="David" w:hint="cs"/>
          <w:b/>
          <w:bCs/>
          <w:sz w:val="24"/>
          <w:szCs w:val="24"/>
          <w:rtl/>
        </w:rPr>
        <w:t xml:space="preserve">א. </w:t>
      </w:r>
      <w:r w:rsidR="0075545E" w:rsidRPr="003D61DF">
        <w:rPr>
          <w:rFonts w:ascii="David" w:hAnsi="David" w:cs="David" w:hint="cs"/>
          <w:b/>
          <w:bCs/>
          <w:sz w:val="24"/>
          <w:szCs w:val="24"/>
          <w:rtl/>
        </w:rPr>
        <w:t>תיקונים שתחולתם מיום ה</w:t>
      </w:r>
      <w:r w:rsidR="002069BF" w:rsidRPr="003D61DF">
        <w:rPr>
          <w:rFonts w:ascii="David" w:hAnsi="David" w:cs="David" w:hint="cs"/>
          <w:b/>
          <w:bCs/>
          <w:sz w:val="24"/>
          <w:szCs w:val="24"/>
          <w:rtl/>
        </w:rPr>
        <w:t>תחילה</w:t>
      </w:r>
      <w:r w:rsidR="0075545E" w:rsidRPr="003D61DF">
        <w:rPr>
          <w:rFonts w:ascii="David" w:hAnsi="David" w:cs="David" w:hint="cs"/>
          <w:b/>
          <w:bCs/>
          <w:sz w:val="24"/>
          <w:szCs w:val="24"/>
          <w:rtl/>
        </w:rPr>
        <w:t xml:space="preserve"> (1.9.24)</w:t>
      </w:r>
    </w:p>
    <w:p w14:paraId="0F4E86EC" w14:textId="4F61B9C9" w:rsidR="00CF6F1B" w:rsidRDefault="00FA3624" w:rsidP="00FA3624">
      <w:pPr>
        <w:pStyle w:val="ListParagraph"/>
        <w:numPr>
          <w:ilvl w:val="0"/>
          <w:numId w:val="1"/>
        </w:numPr>
        <w:spacing w:line="360" w:lineRule="auto"/>
        <w:jc w:val="both"/>
        <w:rPr>
          <w:rFonts w:ascii="David" w:hAnsi="David" w:cs="David"/>
        </w:rPr>
      </w:pPr>
      <w:r>
        <w:rPr>
          <w:rFonts w:ascii="David" w:hAnsi="David" w:cs="David" w:hint="cs"/>
          <w:rtl/>
        </w:rPr>
        <w:t xml:space="preserve">סעיף 6 </w:t>
      </w:r>
      <w:r w:rsidR="003D61DF">
        <w:rPr>
          <w:rFonts w:ascii="David" w:hAnsi="David" w:cs="David" w:hint="cs"/>
          <w:rtl/>
        </w:rPr>
        <w:t>ב</w:t>
      </w:r>
      <w:r w:rsidR="00CC6B83" w:rsidRPr="00FA3624">
        <w:rPr>
          <w:rFonts w:ascii="David" w:hAnsi="David" w:cs="David" w:hint="cs"/>
          <w:rtl/>
        </w:rPr>
        <w:t>חוק ייעול הליכי רישוי סביבתי</w:t>
      </w:r>
      <w:r>
        <w:rPr>
          <w:rFonts w:ascii="David" w:hAnsi="David" w:cs="David" w:hint="cs"/>
          <w:rtl/>
        </w:rPr>
        <w:t xml:space="preserve"> קובע את הוראות התחילה של התיקונים שבוצעו בחוק אוויר נקי ובחוק החומרים המסוכנים. ככלל, נקבע מועד תחילת החוק ליום 1.9.24</w:t>
      </w:r>
      <w:r w:rsidR="00AA240F">
        <w:rPr>
          <w:rFonts w:ascii="David" w:hAnsi="David" w:cs="David" w:hint="cs"/>
          <w:rtl/>
        </w:rPr>
        <w:t>,</w:t>
      </w:r>
      <w:r>
        <w:rPr>
          <w:rFonts w:ascii="David" w:hAnsi="David" w:cs="David" w:hint="cs"/>
          <w:rtl/>
        </w:rPr>
        <w:t xml:space="preserve"> </w:t>
      </w:r>
      <w:r w:rsidR="00AA240F">
        <w:rPr>
          <w:rFonts w:ascii="David" w:hAnsi="David" w:cs="David" w:hint="cs"/>
          <w:rtl/>
        </w:rPr>
        <w:t xml:space="preserve">אך </w:t>
      </w:r>
      <w:r w:rsidR="003D61DF">
        <w:rPr>
          <w:rFonts w:ascii="David" w:hAnsi="David" w:cs="David" w:hint="cs"/>
          <w:rtl/>
        </w:rPr>
        <w:t>ב</w:t>
      </w:r>
      <w:r w:rsidR="00CA6995">
        <w:rPr>
          <w:rFonts w:ascii="David" w:hAnsi="David" w:cs="David" w:hint="cs"/>
          <w:rtl/>
        </w:rPr>
        <w:t>עבור מרבית התיקונים הנכללים בחוק ייעול הליכי רישוי סביבתי</w:t>
      </w:r>
      <w:r>
        <w:rPr>
          <w:rFonts w:ascii="David" w:hAnsi="David" w:cs="David" w:hint="cs"/>
          <w:rtl/>
        </w:rPr>
        <w:t xml:space="preserve"> נקבעה תחילה דחויה ליום 1.1.27</w:t>
      </w:r>
      <w:r w:rsidR="00AA240F">
        <w:rPr>
          <w:rFonts w:ascii="David" w:hAnsi="David" w:cs="David" w:hint="cs"/>
          <w:rtl/>
        </w:rPr>
        <w:t>,</w:t>
      </w:r>
      <w:r>
        <w:rPr>
          <w:rFonts w:ascii="David" w:hAnsi="David" w:cs="David" w:hint="cs"/>
          <w:rtl/>
        </w:rPr>
        <w:t xml:space="preserve"> </w:t>
      </w:r>
      <w:r w:rsidR="00AA240F">
        <w:rPr>
          <w:rFonts w:ascii="David" w:hAnsi="David" w:cs="David" w:hint="cs"/>
          <w:rtl/>
        </w:rPr>
        <w:t>שהוגדר "</w:t>
      </w:r>
      <w:r>
        <w:rPr>
          <w:rFonts w:ascii="David" w:hAnsi="David" w:cs="David" w:hint="cs"/>
          <w:rtl/>
        </w:rPr>
        <w:t>היום הקובע</w:t>
      </w:r>
      <w:r w:rsidR="00AA240F">
        <w:rPr>
          <w:rFonts w:ascii="David" w:hAnsi="David" w:cs="David" w:hint="cs"/>
          <w:rtl/>
        </w:rPr>
        <w:t>"</w:t>
      </w:r>
      <w:r w:rsidR="00C92E00">
        <w:rPr>
          <w:rFonts w:ascii="David" w:hAnsi="David" w:cs="David" w:hint="cs"/>
          <w:rtl/>
        </w:rPr>
        <w:t xml:space="preserve">, </w:t>
      </w:r>
      <w:r w:rsidR="00AA240F">
        <w:rPr>
          <w:rFonts w:ascii="David" w:hAnsi="David" w:cs="David" w:hint="cs"/>
          <w:rtl/>
        </w:rPr>
        <w:t xml:space="preserve">בהתאם לפירוט </w:t>
      </w:r>
      <w:r w:rsidR="00C92E00">
        <w:rPr>
          <w:rFonts w:ascii="David" w:hAnsi="David" w:cs="David" w:hint="cs"/>
          <w:rtl/>
        </w:rPr>
        <w:t>בסעיף 6(ב)</w:t>
      </w:r>
      <w:r>
        <w:rPr>
          <w:rFonts w:ascii="David" w:hAnsi="David" w:cs="David" w:hint="cs"/>
          <w:rtl/>
        </w:rPr>
        <w:t>.</w:t>
      </w:r>
      <w:r w:rsidR="00CF6F1B">
        <w:rPr>
          <w:rFonts w:ascii="David" w:hAnsi="David" w:cs="David" w:hint="cs"/>
          <w:rtl/>
        </w:rPr>
        <w:t xml:space="preserve"> </w:t>
      </w:r>
    </w:p>
    <w:p w14:paraId="0C53CC92" w14:textId="7B627608" w:rsidR="00CF6F1B" w:rsidRDefault="00B63429" w:rsidP="00FA3624">
      <w:pPr>
        <w:pStyle w:val="ListParagraph"/>
        <w:numPr>
          <w:ilvl w:val="0"/>
          <w:numId w:val="1"/>
        </w:numPr>
        <w:spacing w:line="360" w:lineRule="auto"/>
        <w:jc w:val="both"/>
        <w:rPr>
          <w:rFonts w:ascii="David" w:hAnsi="David" w:cs="David"/>
        </w:rPr>
      </w:pPr>
      <w:r>
        <w:rPr>
          <w:rFonts w:ascii="David" w:hAnsi="David" w:cs="David" w:hint="cs"/>
          <w:rtl/>
        </w:rPr>
        <w:t xml:space="preserve">בתקופת המעבר </w:t>
      </w:r>
      <w:r w:rsidR="00CF6F1B">
        <w:rPr>
          <w:rFonts w:ascii="David" w:hAnsi="David" w:cs="David" w:hint="cs"/>
          <w:rtl/>
        </w:rPr>
        <w:t xml:space="preserve">החל מיום 1.9.24 ועד ליום 1.1.27 יחולו שינויים בהוראות </w:t>
      </w:r>
      <w:r w:rsidR="00CF6F1B" w:rsidRPr="009F6891">
        <w:rPr>
          <w:rFonts w:ascii="David" w:hAnsi="David" w:cs="David" w:hint="cs"/>
          <w:b/>
          <w:bCs/>
          <w:rtl/>
        </w:rPr>
        <w:t>חוק אוויר נקי</w:t>
      </w:r>
      <w:r w:rsidR="00CF6F1B">
        <w:rPr>
          <w:rFonts w:ascii="David" w:hAnsi="David" w:cs="David" w:hint="cs"/>
          <w:rtl/>
        </w:rPr>
        <w:t xml:space="preserve"> כמפורט להלן </w:t>
      </w:r>
      <w:r w:rsidR="00CF6F1B">
        <w:rPr>
          <w:rFonts w:ascii="David" w:hAnsi="David" w:cs="David"/>
          <w:rtl/>
        </w:rPr>
        <w:t>–</w:t>
      </w:r>
      <w:r w:rsidR="00CF6F1B">
        <w:rPr>
          <w:rFonts w:ascii="David" w:hAnsi="David" w:cs="David" w:hint="cs"/>
          <w:rtl/>
        </w:rPr>
        <w:t xml:space="preserve"> </w:t>
      </w:r>
    </w:p>
    <w:p w14:paraId="212C8D62" w14:textId="57C27667" w:rsidR="00CF6F1B" w:rsidRDefault="00CF6F1B" w:rsidP="00CF6F1B">
      <w:pPr>
        <w:pStyle w:val="ListParagraph"/>
        <w:numPr>
          <w:ilvl w:val="1"/>
          <w:numId w:val="1"/>
        </w:numPr>
        <w:spacing w:line="360" w:lineRule="auto"/>
        <w:jc w:val="both"/>
        <w:rPr>
          <w:rFonts w:ascii="David" w:hAnsi="David" w:cs="David"/>
        </w:rPr>
      </w:pPr>
      <w:r w:rsidRPr="009F6891">
        <w:rPr>
          <w:rFonts w:ascii="David" w:hAnsi="David" w:cs="David" w:hint="cs"/>
          <w:b/>
          <w:bCs/>
          <w:rtl/>
        </w:rPr>
        <w:t>מקור</w:t>
      </w:r>
      <w:r w:rsidRPr="009F6891">
        <w:rPr>
          <w:rFonts w:ascii="David" w:hAnsi="David" w:cs="David"/>
          <w:b/>
          <w:bCs/>
          <w:rtl/>
        </w:rPr>
        <w:t xml:space="preserve"> </w:t>
      </w:r>
      <w:r w:rsidRPr="009F6891">
        <w:rPr>
          <w:rFonts w:ascii="David" w:hAnsi="David" w:cs="David" w:hint="cs"/>
          <w:b/>
          <w:bCs/>
          <w:rtl/>
        </w:rPr>
        <w:t>פליטה</w:t>
      </w:r>
      <w:r w:rsidRPr="009F6891">
        <w:rPr>
          <w:rFonts w:ascii="David" w:hAnsi="David" w:cs="David"/>
          <w:b/>
          <w:bCs/>
          <w:rtl/>
        </w:rPr>
        <w:t xml:space="preserve"> </w:t>
      </w:r>
      <w:r w:rsidRPr="009F6891">
        <w:rPr>
          <w:rFonts w:ascii="David" w:hAnsi="David" w:cs="David" w:hint="cs"/>
          <w:b/>
          <w:bCs/>
          <w:rtl/>
        </w:rPr>
        <w:t>טעון</w:t>
      </w:r>
      <w:r w:rsidRPr="009F6891">
        <w:rPr>
          <w:rFonts w:ascii="David" w:hAnsi="David" w:cs="David"/>
          <w:b/>
          <w:bCs/>
          <w:rtl/>
        </w:rPr>
        <w:t xml:space="preserve"> </w:t>
      </w:r>
      <w:r w:rsidRPr="009F6891">
        <w:rPr>
          <w:rFonts w:ascii="David" w:hAnsi="David" w:cs="David" w:hint="cs"/>
          <w:b/>
          <w:bCs/>
          <w:rtl/>
        </w:rPr>
        <w:t>היתר</w:t>
      </w:r>
      <w:r w:rsidRPr="009F6891">
        <w:rPr>
          <w:rFonts w:ascii="David" w:hAnsi="David" w:cs="David"/>
          <w:b/>
          <w:bCs/>
          <w:rtl/>
        </w:rPr>
        <w:t xml:space="preserve">, </w:t>
      </w:r>
      <w:r w:rsidRPr="009F6891">
        <w:rPr>
          <w:rFonts w:ascii="David" w:hAnsi="David" w:cs="David" w:hint="cs"/>
          <w:b/>
          <w:bCs/>
          <w:rtl/>
        </w:rPr>
        <w:t>סעיף</w:t>
      </w:r>
      <w:r w:rsidRPr="009F6891">
        <w:rPr>
          <w:rFonts w:ascii="David" w:hAnsi="David" w:cs="David"/>
          <w:b/>
          <w:bCs/>
          <w:rtl/>
        </w:rPr>
        <w:t xml:space="preserve"> 17</w:t>
      </w:r>
      <w:r w:rsidR="00B63429">
        <w:rPr>
          <w:rFonts w:ascii="David" w:hAnsi="David" w:cs="David" w:hint="cs"/>
          <w:rtl/>
        </w:rPr>
        <w:t xml:space="preserve"> </w:t>
      </w:r>
      <w:r>
        <w:rPr>
          <w:rFonts w:ascii="David" w:hAnsi="David" w:cs="David"/>
          <w:rtl/>
        </w:rPr>
        <w:t>–</w:t>
      </w:r>
      <w:r>
        <w:rPr>
          <w:rFonts w:ascii="David" w:hAnsi="David" w:cs="David" w:hint="cs"/>
          <w:rtl/>
        </w:rPr>
        <w:t xml:space="preserve"> נעשתה הפניה לתוספת השלישית המעודכנת לחוק ונקבעו הוראות מפורטות לעניין היקף פעילות המחייב היתר פליטה לאוויר</w:t>
      </w:r>
      <w:r w:rsidR="00F655F8">
        <w:rPr>
          <w:rFonts w:ascii="David" w:hAnsi="David" w:cs="David" w:hint="cs"/>
          <w:rtl/>
        </w:rPr>
        <w:t xml:space="preserve">. בהקשר זה נקבע, </w:t>
      </w:r>
      <w:r w:rsidR="00B961F8">
        <w:rPr>
          <w:rFonts w:ascii="David" w:hAnsi="David" w:cs="David" w:hint="cs"/>
          <w:rtl/>
        </w:rPr>
        <w:t>בסעיף 17(א1) כי חובת הרישוי תתייחס להספקים ו</w:t>
      </w:r>
      <w:r w:rsidR="00B94E26">
        <w:rPr>
          <w:rFonts w:ascii="David" w:hAnsi="David" w:cs="David" w:hint="cs"/>
          <w:rtl/>
        </w:rPr>
        <w:t>ל</w:t>
      </w:r>
      <w:r w:rsidR="00B961F8">
        <w:rPr>
          <w:rFonts w:ascii="David" w:hAnsi="David" w:cs="David" w:hint="cs"/>
          <w:rtl/>
        </w:rPr>
        <w:t>כושר ייצור מרביים</w:t>
      </w:r>
      <w:r w:rsidR="00B63429">
        <w:rPr>
          <w:rFonts w:ascii="David" w:hAnsi="David" w:cs="David" w:hint="cs"/>
          <w:rtl/>
        </w:rPr>
        <w:t>.</w:t>
      </w:r>
      <w:r w:rsidR="00B961F8">
        <w:rPr>
          <w:rFonts w:ascii="David" w:hAnsi="David" w:cs="David" w:hint="cs"/>
          <w:rtl/>
        </w:rPr>
        <w:t xml:space="preserve"> </w:t>
      </w:r>
      <w:r w:rsidR="00B63429">
        <w:rPr>
          <w:rFonts w:ascii="David" w:hAnsi="David" w:cs="David" w:hint="cs"/>
          <w:rtl/>
        </w:rPr>
        <w:t>עם זאת, ב</w:t>
      </w:r>
      <w:r w:rsidR="00B961F8">
        <w:rPr>
          <w:rFonts w:ascii="David" w:hAnsi="David" w:cs="David" w:hint="cs"/>
          <w:rtl/>
        </w:rPr>
        <w:t xml:space="preserve">סעיף 17(א2) </w:t>
      </w:r>
      <w:r w:rsidR="00B63429">
        <w:rPr>
          <w:rFonts w:ascii="David" w:hAnsi="David" w:cs="David" w:hint="cs"/>
          <w:rtl/>
        </w:rPr>
        <w:t>נקבע כי בעל מקור הפליטה רשאי לבקש מ</w:t>
      </w:r>
      <w:r w:rsidR="00B961F8">
        <w:rPr>
          <w:rFonts w:ascii="David" w:hAnsi="David" w:cs="David" w:hint="cs"/>
          <w:rtl/>
        </w:rPr>
        <w:t>הממונה</w:t>
      </w:r>
      <w:r w:rsidR="00B63429">
        <w:rPr>
          <w:rFonts w:ascii="David" w:hAnsi="David" w:cs="David" w:hint="cs"/>
          <w:rtl/>
        </w:rPr>
        <w:t xml:space="preserve"> אישור </w:t>
      </w:r>
      <w:r w:rsidR="00B94E26">
        <w:rPr>
          <w:rFonts w:ascii="David" w:hAnsi="David" w:cs="David" w:hint="cs"/>
          <w:rtl/>
        </w:rPr>
        <w:t>ו</w:t>
      </w:r>
      <w:r w:rsidR="00B63429">
        <w:rPr>
          <w:rFonts w:ascii="David" w:hAnsi="David" w:cs="David" w:hint="cs"/>
          <w:rtl/>
        </w:rPr>
        <w:t xml:space="preserve">לפיו אין באפשרותו להגיע להספק או </w:t>
      </w:r>
      <w:r w:rsidR="00B94E26">
        <w:rPr>
          <w:rFonts w:ascii="David" w:hAnsi="David" w:cs="David" w:hint="cs"/>
          <w:rtl/>
        </w:rPr>
        <w:t>ל</w:t>
      </w:r>
      <w:r w:rsidR="00B63429">
        <w:rPr>
          <w:rFonts w:ascii="David" w:hAnsi="David" w:cs="David" w:hint="cs"/>
          <w:rtl/>
        </w:rPr>
        <w:t>כושר הייצור המרבי</w:t>
      </w:r>
      <w:r w:rsidR="00B961F8">
        <w:rPr>
          <w:rFonts w:ascii="David" w:hAnsi="David" w:cs="David" w:hint="cs"/>
          <w:rtl/>
        </w:rPr>
        <w:t xml:space="preserve">, </w:t>
      </w:r>
      <w:r w:rsidR="00B63429">
        <w:rPr>
          <w:rFonts w:ascii="David" w:hAnsi="David" w:cs="David" w:hint="cs"/>
          <w:rtl/>
        </w:rPr>
        <w:t>בשל</w:t>
      </w:r>
      <w:r w:rsidR="00B961F8">
        <w:rPr>
          <w:rFonts w:ascii="David" w:hAnsi="David" w:cs="David" w:hint="cs"/>
          <w:rtl/>
        </w:rPr>
        <w:t xml:space="preserve"> מגבלות פיזיות או מגבלות לפי דין אחר.</w:t>
      </w:r>
      <w:r w:rsidR="00B63429">
        <w:rPr>
          <w:rFonts w:ascii="David" w:hAnsi="David" w:cs="David" w:hint="cs"/>
          <w:rtl/>
        </w:rPr>
        <w:t xml:space="preserve"> במקרה כזה יהיה בעל מקור הפליטה </w:t>
      </w:r>
      <w:r w:rsidR="00B63429">
        <w:rPr>
          <w:rFonts w:ascii="David" w:hAnsi="David" w:cs="David" w:hint="cs"/>
          <w:rtl/>
        </w:rPr>
        <w:lastRenderedPageBreak/>
        <w:t>פטור מהחובה להחזיק בהיתר פליטה כל עוד מתקיימות המגבלות בהתאם לאישור הממונה. יש לציין כי במקרה כזה יכול שיידרש למקור הפליטה היתר אחר כגון היתר רעלים או רישיון עסק.</w:t>
      </w:r>
    </w:p>
    <w:p w14:paraId="37EA45C8" w14:textId="0016303D" w:rsidR="00B108A8" w:rsidRPr="00B94E26" w:rsidRDefault="005F0B1C" w:rsidP="00CF6F1B">
      <w:pPr>
        <w:pStyle w:val="ListParagraph"/>
        <w:numPr>
          <w:ilvl w:val="1"/>
          <w:numId w:val="1"/>
        </w:numPr>
        <w:spacing w:line="360" w:lineRule="auto"/>
        <w:jc w:val="both"/>
        <w:rPr>
          <w:rFonts w:ascii="David" w:hAnsi="David" w:cs="David"/>
        </w:rPr>
      </w:pPr>
      <w:r w:rsidRPr="00B57A48">
        <w:rPr>
          <w:rFonts w:ascii="David" w:hAnsi="David" w:cs="David" w:hint="cs"/>
          <w:b/>
          <w:bCs/>
          <w:rtl/>
        </w:rPr>
        <w:t>שיתוף</w:t>
      </w:r>
      <w:r w:rsidRPr="00B57A48">
        <w:rPr>
          <w:rFonts w:ascii="David" w:hAnsi="David" w:cs="David"/>
          <w:b/>
          <w:bCs/>
          <w:rtl/>
        </w:rPr>
        <w:t xml:space="preserve"> </w:t>
      </w:r>
      <w:r w:rsidRPr="00B57A48">
        <w:rPr>
          <w:rFonts w:ascii="David" w:hAnsi="David" w:cs="David" w:hint="cs"/>
          <w:b/>
          <w:bCs/>
          <w:rtl/>
        </w:rPr>
        <w:t>ציבור</w:t>
      </w:r>
      <w:r w:rsidRPr="00B57A48">
        <w:rPr>
          <w:rFonts w:ascii="David" w:hAnsi="David" w:cs="David"/>
          <w:b/>
          <w:bCs/>
          <w:rtl/>
        </w:rPr>
        <w:t xml:space="preserve">, </w:t>
      </w:r>
      <w:r w:rsidRPr="00B57A48">
        <w:rPr>
          <w:rFonts w:ascii="David" w:hAnsi="David" w:cs="David" w:hint="cs"/>
          <w:b/>
          <w:bCs/>
          <w:rtl/>
        </w:rPr>
        <w:t>סעיף</w:t>
      </w:r>
      <w:r w:rsidRPr="00B57A48">
        <w:rPr>
          <w:rFonts w:ascii="David" w:hAnsi="David" w:cs="David"/>
          <w:b/>
          <w:bCs/>
          <w:rtl/>
        </w:rPr>
        <w:t xml:space="preserve"> 21</w:t>
      </w:r>
      <w:r w:rsidR="00F256BF" w:rsidRPr="00B94E26">
        <w:rPr>
          <w:rFonts w:ascii="David" w:hAnsi="David" w:cs="David" w:hint="cs"/>
          <w:rtl/>
        </w:rPr>
        <w:t xml:space="preserve"> </w:t>
      </w:r>
      <w:r w:rsidRPr="00B94E26">
        <w:rPr>
          <w:rFonts w:ascii="David" w:hAnsi="David" w:cs="David"/>
          <w:rtl/>
        </w:rPr>
        <w:t>–</w:t>
      </w:r>
      <w:r w:rsidRPr="00B94E26">
        <w:rPr>
          <w:rFonts w:ascii="David" w:hAnsi="David" w:cs="David" w:hint="cs"/>
          <w:rtl/>
        </w:rPr>
        <w:t xml:space="preserve"> </w:t>
      </w:r>
    </w:p>
    <w:p w14:paraId="7F2543EF" w14:textId="0EFDFAC6" w:rsidR="00B108A8" w:rsidRDefault="00B108A8" w:rsidP="00B108A8">
      <w:pPr>
        <w:pStyle w:val="ListParagraph"/>
        <w:numPr>
          <w:ilvl w:val="2"/>
          <w:numId w:val="1"/>
        </w:numPr>
        <w:spacing w:line="360" w:lineRule="auto"/>
        <w:jc w:val="both"/>
        <w:rPr>
          <w:rFonts w:ascii="David" w:hAnsi="David" w:cs="David"/>
        </w:rPr>
      </w:pPr>
      <w:r>
        <w:rPr>
          <w:rFonts w:ascii="David" w:hAnsi="David" w:cs="David" w:hint="cs"/>
          <w:rtl/>
        </w:rPr>
        <w:t xml:space="preserve">סעיף 21(א)(1) </w:t>
      </w:r>
      <w:r w:rsidR="00B94E26" w:rsidRPr="00B94E26">
        <w:rPr>
          <w:rFonts w:ascii="David" w:hAnsi="David" w:cs="David"/>
          <w:rtl/>
        </w:rPr>
        <w:t>–</w:t>
      </w:r>
      <w:r>
        <w:rPr>
          <w:rFonts w:ascii="David" w:hAnsi="David" w:cs="David" w:hint="cs"/>
          <w:rtl/>
        </w:rPr>
        <w:t xml:space="preserve"> </w:t>
      </w:r>
      <w:r w:rsidR="005F0B1C">
        <w:rPr>
          <w:rFonts w:ascii="David" w:hAnsi="David" w:cs="David" w:hint="cs"/>
          <w:rtl/>
        </w:rPr>
        <w:t xml:space="preserve">הובהר כי </w:t>
      </w:r>
      <w:r w:rsidR="00DC65A9">
        <w:rPr>
          <w:rFonts w:ascii="David" w:hAnsi="David" w:cs="David" w:hint="cs"/>
          <w:rtl/>
        </w:rPr>
        <w:t>המידע ש</w:t>
      </w:r>
      <w:r w:rsidR="005F0B1C">
        <w:rPr>
          <w:rFonts w:ascii="David" w:hAnsi="David" w:cs="David" w:hint="cs"/>
          <w:rtl/>
        </w:rPr>
        <w:t xml:space="preserve">הממונה יפרסם לציבור נוסף על הבקשה להיתר פליטה </w:t>
      </w:r>
      <w:r w:rsidR="00DC65A9">
        <w:rPr>
          <w:rFonts w:ascii="David" w:hAnsi="David" w:cs="David" w:hint="cs"/>
          <w:rtl/>
        </w:rPr>
        <w:t xml:space="preserve">הוא </w:t>
      </w:r>
      <w:r w:rsidR="005F0B1C">
        <w:rPr>
          <w:rFonts w:ascii="David" w:hAnsi="David" w:cs="David" w:hint="cs"/>
          <w:rtl/>
        </w:rPr>
        <w:t>מסמכים נלווים וצרופות שהוגשו לפי סעיף 18(ב)</w:t>
      </w:r>
      <w:r>
        <w:rPr>
          <w:rFonts w:ascii="David" w:hAnsi="David" w:cs="David" w:hint="cs"/>
          <w:rtl/>
        </w:rPr>
        <w:t>.</w:t>
      </w:r>
      <w:r w:rsidR="005F0B1C">
        <w:rPr>
          <w:rFonts w:ascii="David" w:hAnsi="David" w:cs="David" w:hint="cs"/>
          <w:rtl/>
        </w:rPr>
        <w:t xml:space="preserve"> </w:t>
      </w:r>
    </w:p>
    <w:p w14:paraId="54F89C64" w14:textId="1DDC9948" w:rsidR="00B108A8" w:rsidRDefault="00B108A8" w:rsidP="00B108A8">
      <w:pPr>
        <w:pStyle w:val="ListParagraph"/>
        <w:numPr>
          <w:ilvl w:val="2"/>
          <w:numId w:val="1"/>
        </w:numPr>
        <w:spacing w:line="360" w:lineRule="auto"/>
        <w:jc w:val="both"/>
        <w:rPr>
          <w:rFonts w:ascii="David" w:hAnsi="David" w:cs="David"/>
        </w:rPr>
      </w:pPr>
      <w:r>
        <w:rPr>
          <w:rFonts w:ascii="David" w:hAnsi="David" w:cs="David" w:hint="cs"/>
          <w:rtl/>
        </w:rPr>
        <w:t xml:space="preserve">סעיף 21(א)(2) </w:t>
      </w:r>
      <w:r>
        <w:rPr>
          <w:rFonts w:ascii="David" w:hAnsi="David" w:cs="David"/>
          <w:rtl/>
        </w:rPr>
        <w:t>–</w:t>
      </w:r>
      <w:r>
        <w:rPr>
          <w:rFonts w:ascii="David" w:hAnsi="David" w:cs="David" w:hint="cs"/>
          <w:rtl/>
        </w:rPr>
        <w:t xml:space="preserve"> </w:t>
      </w:r>
      <w:r w:rsidR="00027AAE">
        <w:rPr>
          <w:rFonts w:ascii="David" w:hAnsi="David" w:cs="David" w:hint="cs"/>
          <w:rtl/>
        </w:rPr>
        <w:t>נוסף על כך</w:t>
      </w:r>
      <w:r>
        <w:rPr>
          <w:rFonts w:ascii="David" w:hAnsi="David" w:cs="David" w:hint="cs"/>
          <w:rtl/>
        </w:rPr>
        <w:t>, הממונה</w:t>
      </w:r>
      <w:r w:rsidR="00DC65A9" w:rsidRPr="00DC65A9">
        <w:rPr>
          <w:rFonts w:ascii="David" w:hAnsi="David" w:cs="David" w:hint="cs"/>
          <w:rtl/>
        </w:rPr>
        <w:t xml:space="preserve"> </w:t>
      </w:r>
      <w:r w:rsidR="00DC65A9">
        <w:rPr>
          <w:rFonts w:ascii="David" w:hAnsi="David" w:cs="David" w:hint="cs"/>
          <w:rtl/>
        </w:rPr>
        <w:t>יפרסם</w:t>
      </w:r>
      <w:r>
        <w:rPr>
          <w:rFonts w:ascii="David" w:hAnsi="David" w:cs="David" w:hint="cs"/>
          <w:rtl/>
        </w:rPr>
        <w:t xml:space="preserve"> </w:t>
      </w:r>
      <w:r w:rsidR="005F0B1C">
        <w:rPr>
          <w:rFonts w:ascii="David" w:hAnsi="David" w:cs="David" w:hint="cs"/>
          <w:rtl/>
        </w:rPr>
        <w:t xml:space="preserve">מידע ופרטים נוספים שהוגשו </w:t>
      </w:r>
      <w:r w:rsidR="00DC65A9">
        <w:rPr>
          <w:rFonts w:ascii="David" w:hAnsi="David" w:cs="David" w:hint="cs"/>
          <w:rtl/>
        </w:rPr>
        <w:t xml:space="preserve">במסגרת דרישת השלמות </w:t>
      </w:r>
      <w:r w:rsidR="005F0B1C">
        <w:rPr>
          <w:rFonts w:ascii="David" w:hAnsi="David" w:cs="David" w:hint="cs"/>
          <w:rtl/>
        </w:rPr>
        <w:t>לפי</w:t>
      </w:r>
      <w:r w:rsidR="00DC65A9">
        <w:rPr>
          <w:rFonts w:ascii="David" w:hAnsi="David" w:cs="David" w:hint="cs"/>
          <w:rtl/>
        </w:rPr>
        <w:t xml:space="preserve"> סעיף</w:t>
      </w:r>
      <w:r w:rsidR="005F0B1C">
        <w:rPr>
          <w:rFonts w:ascii="David" w:hAnsi="David" w:cs="David" w:hint="cs"/>
          <w:rtl/>
        </w:rPr>
        <w:t xml:space="preserve"> 18(ג)(1), וכן חוו</w:t>
      </w:r>
      <w:r w:rsidR="00027AAE">
        <w:rPr>
          <w:rFonts w:ascii="David" w:hAnsi="David" w:cs="David" w:hint="cs"/>
          <w:rtl/>
        </w:rPr>
        <w:t>ֹ</w:t>
      </w:r>
      <w:r w:rsidR="005F0B1C">
        <w:rPr>
          <w:rFonts w:ascii="David" w:hAnsi="David" w:cs="David" w:hint="cs"/>
          <w:rtl/>
        </w:rPr>
        <w:t xml:space="preserve">ת דעת שהוגשו לפי סעיף </w:t>
      </w:r>
      <w:r w:rsidR="00BF3AB3">
        <w:rPr>
          <w:rFonts w:ascii="David" w:hAnsi="David" w:cs="David" w:hint="cs"/>
          <w:rtl/>
        </w:rPr>
        <w:t>18</w:t>
      </w:r>
      <w:r>
        <w:rPr>
          <w:rFonts w:ascii="David" w:hAnsi="David" w:cs="David" w:hint="cs"/>
          <w:rtl/>
        </w:rPr>
        <w:t>(ד)</w:t>
      </w:r>
      <w:r w:rsidR="00BF3AB3">
        <w:rPr>
          <w:rFonts w:ascii="David" w:hAnsi="David" w:cs="David" w:hint="cs"/>
          <w:rtl/>
        </w:rPr>
        <w:t xml:space="preserve"> על ידי איגוד ערים או יחידה סביבתית.</w:t>
      </w:r>
      <w:r w:rsidR="005F0B1C">
        <w:rPr>
          <w:rFonts w:ascii="David" w:hAnsi="David" w:cs="David" w:hint="cs"/>
          <w:rtl/>
        </w:rPr>
        <w:t xml:space="preserve"> </w:t>
      </w:r>
      <w:r>
        <w:rPr>
          <w:rFonts w:ascii="David" w:hAnsi="David" w:cs="David" w:hint="cs"/>
          <w:rtl/>
        </w:rPr>
        <w:t xml:space="preserve"> </w:t>
      </w:r>
    </w:p>
    <w:p w14:paraId="1A00CAF7" w14:textId="346BECC7" w:rsidR="005F0B1C" w:rsidRDefault="00B108A8" w:rsidP="00B108A8">
      <w:pPr>
        <w:pStyle w:val="ListParagraph"/>
        <w:numPr>
          <w:ilvl w:val="2"/>
          <w:numId w:val="1"/>
        </w:numPr>
        <w:spacing w:line="360" w:lineRule="auto"/>
        <w:jc w:val="both"/>
        <w:rPr>
          <w:rFonts w:ascii="David" w:hAnsi="David" w:cs="David"/>
        </w:rPr>
      </w:pPr>
      <w:r>
        <w:rPr>
          <w:rFonts w:ascii="David" w:hAnsi="David" w:cs="David" w:hint="cs"/>
          <w:rtl/>
        </w:rPr>
        <w:t xml:space="preserve">סעיף 21(ב) </w:t>
      </w:r>
      <w:r w:rsidR="00027AAE" w:rsidRPr="00B94E26">
        <w:rPr>
          <w:rFonts w:ascii="David" w:hAnsi="David" w:cs="David"/>
          <w:rtl/>
        </w:rPr>
        <w:t>–</w:t>
      </w:r>
      <w:r>
        <w:rPr>
          <w:rFonts w:ascii="David" w:hAnsi="David" w:cs="David" w:hint="cs"/>
          <w:rtl/>
        </w:rPr>
        <w:t xml:space="preserve"> נקבעה חובה לפרסם באתר האינטרנט את החלטת הממונה </w:t>
      </w:r>
      <w:r w:rsidRPr="00027AAE">
        <w:rPr>
          <w:rFonts w:ascii="David" w:hAnsi="David" w:cs="David" w:hint="cs"/>
          <w:rtl/>
        </w:rPr>
        <w:t>לשקול</w:t>
      </w:r>
      <w:r>
        <w:rPr>
          <w:rFonts w:ascii="David" w:hAnsi="David" w:cs="David" w:hint="cs"/>
          <w:rtl/>
        </w:rPr>
        <w:t xml:space="preserve"> לתת היתר פליטה או </w:t>
      </w:r>
      <w:r w:rsidR="00027AAE">
        <w:rPr>
          <w:rFonts w:ascii="David" w:hAnsi="David" w:cs="David" w:hint="cs"/>
          <w:rtl/>
        </w:rPr>
        <w:t>לתִתו</w:t>
      </w:r>
      <w:r>
        <w:rPr>
          <w:rFonts w:ascii="David" w:hAnsi="David" w:cs="David" w:hint="cs"/>
          <w:rtl/>
        </w:rPr>
        <w:t xml:space="preserve"> בתנאים.</w:t>
      </w:r>
    </w:p>
    <w:p w14:paraId="0FA094C3" w14:textId="13775851" w:rsidR="00B108A8" w:rsidRDefault="00B108A8" w:rsidP="00B108A8">
      <w:pPr>
        <w:pStyle w:val="ListParagraph"/>
        <w:numPr>
          <w:ilvl w:val="2"/>
          <w:numId w:val="1"/>
        </w:numPr>
        <w:spacing w:line="360" w:lineRule="auto"/>
        <w:jc w:val="both"/>
        <w:rPr>
          <w:rFonts w:ascii="David" w:hAnsi="David" w:cs="David"/>
        </w:rPr>
      </w:pPr>
      <w:r>
        <w:rPr>
          <w:rFonts w:ascii="David" w:hAnsi="David" w:cs="David" w:hint="cs"/>
          <w:rtl/>
        </w:rPr>
        <w:t xml:space="preserve">סעיף 21(ד)(2)(ב1) </w:t>
      </w:r>
      <w:r>
        <w:rPr>
          <w:rFonts w:ascii="David" w:hAnsi="David" w:cs="David"/>
          <w:rtl/>
        </w:rPr>
        <w:t>–</w:t>
      </w:r>
      <w:r>
        <w:rPr>
          <w:rFonts w:ascii="David" w:hAnsi="David" w:cs="David" w:hint="cs"/>
          <w:rtl/>
        </w:rPr>
        <w:t xml:space="preserve"> נקבע כי הממונה רשאי לפרסם את הבקשה להיתר פליטה ללא הפרטים</w:t>
      </w:r>
      <w:r w:rsidR="00BF3AB3">
        <w:rPr>
          <w:rFonts w:ascii="David" w:hAnsi="David" w:cs="David" w:hint="cs"/>
          <w:rtl/>
        </w:rPr>
        <w:t xml:space="preserve"> שלגביהם נטען כי הם מהווים סוד מסחרי וזאת עד לקבלת החלטתו בנושא זה</w:t>
      </w:r>
      <w:r w:rsidR="001F36A9">
        <w:rPr>
          <w:rFonts w:ascii="David" w:hAnsi="David" w:cs="David" w:hint="cs"/>
          <w:rtl/>
        </w:rPr>
        <w:t>. החלטתו תפורסם באתר האינטרנט לא יאוחר מה</w:t>
      </w:r>
      <w:r w:rsidR="00BF3AB3">
        <w:rPr>
          <w:rFonts w:ascii="David" w:hAnsi="David" w:cs="David" w:hint="cs"/>
          <w:rtl/>
        </w:rPr>
        <w:t>מועד הקבוע בסעיף 21(ב)</w:t>
      </w:r>
      <w:r w:rsidR="001F36A9">
        <w:rPr>
          <w:rFonts w:ascii="David" w:hAnsi="David" w:cs="David" w:hint="cs"/>
          <w:rtl/>
        </w:rPr>
        <w:t xml:space="preserve"> לעני</w:t>
      </w:r>
      <w:r w:rsidR="009755F2">
        <w:rPr>
          <w:rFonts w:ascii="David" w:hAnsi="David" w:cs="David" w:hint="cs"/>
          <w:rtl/>
        </w:rPr>
        <w:t>י</w:t>
      </w:r>
      <w:r w:rsidR="001F36A9">
        <w:rPr>
          <w:rFonts w:ascii="David" w:hAnsi="David" w:cs="David" w:hint="cs"/>
          <w:rtl/>
        </w:rPr>
        <w:t xml:space="preserve">ן פרסום הודעה על כך שהממונה שוקל לתת היתר פליטה או </w:t>
      </w:r>
      <w:r w:rsidR="009755F2">
        <w:rPr>
          <w:rFonts w:ascii="David" w:hAnsi="David" w:cs="David" w:hint="cs"/>
          <w:rtl/>
        </w:rPr>
        <w:t>לתִתו</w:t>
      </w:r>
      <w:r w:rsidR="001F36A9">
        <w:rPr>
          <w:rFonts w:ascii="David" w:hAnsi="David" w:cs="David" w:hint="cs"/>
          <w:rtl/>
        </w:rPr>
        <w:t xml:space="preserve"> בתנאים.</w:t>
      </w:r>
      <w:r>
        <w:rPr>
          <w:rFonts w:ascii="David" w:hAnsi="David" w:cs="David" w:hint="cs"/>
          <w:rtl/>
        </w:rPr>
        <w:t xml:space="preserve"> </w:t>
      </w:r>
    </w:p>
    <w:p w14:paraId="7E846408" w14:textId="580245A0" w:rsidR="00B108A8" w:rsidRDefault="001518BC" w:rsidP="00CF6F1B">
      <w:pPr>
        <w:pStyle w:val="ListParagraph"/>
        <w:numPr>
          <w:ilvl w:val="1"/>
          <w:numId w:val="1"/>
        </w:numPr>
        <w:spacing w:line="360" w:lineRule="auto"/>
        <w:jc w:val="both"/>
        <w:rPr>
          <w:rFonts w:ascii="David" w:hAnsi="David" w:cs="David"/>
        </w:rPr>
      </w:pPr>
      <w:r w:rsidRPr="00B57A48">
        <w:rPr>
          <w:rFonts w:ascii="David" w:hAnsi="David" w:cs="David" w:hint="cs"/>
          <w:b/>
          <w:bCs/>
          <w:rtl/>
        </w:rPr>
        <w:t>תקנות</w:t>
      </w:r>
      <w:r w:rsidRPr="00B57A48">
        <w:rPr>
          <w:rFonts w:ascii="David" w:hAnsi="David" w:cs="David"/>
          <w:b/>
          <w:bCs/>
          <w:rtl/>
        </w:rPr>
        <w:t xml:space="preserve"> </w:t>
      </w:r>
      <w:r w:rsidRPr="00B57A48">
        <w:rPr>
          <w:rFonts w:ascii="David" w:hAnsi="David" w:cs="David" w:hint="cs"/>
          <w:b/>
          <w:bCs/>
          <w:rtl/>
        </w:rPr>
        <w:t>בנושא</w:t>
      </w:r>
      <w:r w:rsidRPr="00B57A48">
        <w:rPr>
          <w:rFonts w:ascii="David" w:hAnsi="David" w:cs="David"/>
          <w:b/>
          <w:bCs/>
          <w:rtl/>
        </w:rPr>
        <w:t xml:space="preserve"> </w:t>
      </w:r>
      <w:r w:rsidRPr="00B57A48">
        <w:rPr>
          <w:rFonts w:ascii="David" w:hAnsi="David" w:cs="David" w:hint="cs"/>
          <w:b/>
          <w:bCs/>
          <w:rtl/>
        </w:rPr>
        <w:t>אגרות</w:t>
      </w:r>
      <w:r w:rsidRPr="00B57A48">
        <w:rPr>
          <w:rFonts w:ascii="David" w:hAnsi="David" w:cs="David"/>
          <w:b/>
          <w:bCs/>
          <w:rtl/>
        </w:rPr>
        <w:t xml:space="preserve">, </w:t>
      </w:r>
      <w:r w:rsidRPr="00B57A48">
        <w:rPr>
          <w:rFonts w:ascii="David" w:hAnsi="David" w:cs="David" w:hint="cs"/>
          <w:b/>
          <w:bCs/>
          <w:rtl/>
        </w:rPr>
        <w:t>סעיף</w:t>
      </w:r>
      <w:r w:rsidRPr="00B57A48">
        <w:rPr>
          <w:rFonts w:ascii="David" w:hAnsi="David" w:cs="David"/>
          <w:b/>
          <w:bCs/>
          <w:rtl/>
        </w:rPr>
        <w:t xml:space="preserve"> 30</w:t>
      </w:r>
      <w:r w:rsidR="002337B5">
        <w:rPr>
          <w:rFonts w:ascii="David" w:hAnsi="David" w:cs="David" w:hint="cs"/>
          <w:rtl/>
        </w:rPr>
        <w:t xml:space="preserve"> </w:t>
      </w:r>
      <w:r>
        <w:rPr>
          <w:rFonts w:ascii="David" w:hAnsi="David" w:cs="David"/>
          <w:rtl/>
        </w:rPr>
        <w:t>–</w:t>
      </w:r>
      <w:r>
        <w:rPr>
          <w:rFonts w:ascii="David" w:hAnsi="David" w:cs="David" w:hint="cs"/>
          <w:rtl/>
        </w:rPr>
        <w:t xml:space="preserve"> נוספה סמכות להתקין תקנות </w:t>
      </w:r>
      <w:r w:rsidR="002337B5">
        <w:rPr>
          <w:rFonts w:ascii="David" w:hAnsi="David" w:cs="David" w:hint="cs"/>
          <w:rtl/>
        </w:rPr>
        <w:t xml:space="preserve">לגביית </w:t>
      </w:r>
      <w:r>
        <w:rPr>
          <w:rFonts w:ascii="David" w:hAnsi="David" w:cs="David" w:hint="cs"/>
          <w:rtl/>
        </w:rPr>
        <w:t xml:space="preserve">אגרות בעד </w:t>
      </w:r>
      <w:r w:rsidR="002337B5">
        <w:rPr>
          <w:rFonts w:ascii="David" w:hAnsi="David" w:cs="David" w:hint="cs"/>
          <w:rtl/>
        </w:rPr>
        <w:t xml:space="preserve">הגשת </w:t>
      </w:r>
      <w:r>
        <w:rPr>
          <w:rFonts w:ascii="David" w:hAnsi="David" w:cs="David" w:hint="cs"/>
          <w:rtl/>
        </w:rPr>
        <w:t>השג</w:t>
      </w:r>
      <w:r w:rsidR="002337B5">
        <w:rPr>
          <w:rFonts w:ascii="David" w:hAnsi="David" w:cs="David" w:hint="cs"/>
          <w:rtl/>
        </w:rPr>
        <w:t>ה</w:t>
      </w:r>
      <w:r>
        <w:rPr>
          <w:rFonts w:ascii="David" w:hAnsi="David" w:cs="David" w:hint="cs"/>
          <w:rtl/>
        </w:rPr>
        <w:t xml:space="preserve"> ובעד קבלת היתרים או אישורים לפי חוק אוויר נקי. </w:t>
      </w:r>
    </w:p>
    <w:p w14:paraId="71E5559C" w14:textId="7B0C7C9D" w:rsidR="003F4E04" w:rsidRDefault="001518BC" w:rsidP="00CF6F1B">
      <w:pPr>
        <w:pStyle w:val="ListParagraph"/>
        <w:numPr>
          <w:ilvl w:val="1"/>
          <w:numId w:val="1"/>
        </w:numPr>
        <w:spacing w:line="360" w:lineRule="auto"/>
        <w:jc w:val="both"/>
        <w:rPr>
          <w:rFonts w:ascii="David" w:hAnsi="David" w:cs="David"/>
        </w:rPr>
      </w:pPr>
      <w:r w:rsidRPr="00B57A48">
        <w:rPr>
          <w:rFonts w:ascii="David" w:hAnsi="David" w:cs="David" w:hint="cs"/>
          <w:b/>
          <w:bCs/>
          <w:rtl/>
        </w:rPr>
        <w:t>תקנות</w:t>
      </w:r>
      <w:r w:rsidRPr="00B57A48">
        <w:rPr>
          <w:rFonts w:ascii="David" w:hAnsi="David" w:cs="David"/>
          <w:b/>
          <w:bCs/>
          <w:rtl/>
        </w:rPr>
        <w:t xml:space="preserve"> </w:t>
      </w:r>
      <w:r w:rsidRPr="00B57A48">
        <w:rPr>
          <w:rFonts w:ascii="David" w:hAnsi="David" w:cs="David" w:hint="cs"/>
          <w:b/>
          <w:bCs/>
          <w:rtl/>
        </w:rPr>
        <w:t>בנושא</w:t>
      </w:r>
      <w:r w:rsidRPr="00B57A48">
        <w:rPr>
          <w:rFonts w:ascii="David" w:hAnsi="David" w:cs="David"/>
          <w:b/>
          <w:bCs/>
          <w:rtl/>
        </w:rPr>
        <w:t xml:space="preserve"> </w:t>
      </w:r>
      <w:r w:rsidRPr="00B57A48">
        <w:rPr>
          <w:rFonts w:ascii="David" w:hAnsi="David" w:cs="David" w:hint="cs"/>
          <w:b/>
          <w:bCs/>
          <w:rtl/>
        </w:rPr>
        <w:t>היטל</w:t>
      </w:r>
      <w:r w:rsidRPr="00B57A48">
        <w:rPr>
          <w:rFonts w:ascii="David" w:hAnsi="David" w:cs="David"/>
          <w:b/>
          <w:bCs/>
          <w:rtl/>
        </w:rPr>
        <w:t xml:space="preserve"> </w:t>
      </w:r>
      <w:r w:rsidRPr="00B57A48">
        <w:rPr>
          <w:rFonts w:ascii="David" w:hAnsi="David" w:cs="David" w:hint="cs"/>
          <w:b/>
          <w:bCs/>
          <w:rtl/>
        </w:rPr>
        <w:t>על</w:t>
      </w:r>
      <w:r w:rsidRPr="00B57A48">
        <w:rPr>
          <w:rFonts w:ascii="David" w:hAnsi="David" w:cs="David"/>
          <w:b/>
          <w:bCs/>
          <w:rtl/>
        </w:rPr>
        <w:t xml:space="preserve"> </w:t>
      </w:r>
      <w:r w:rsidRPr="00B57A48">
        <w:rPr>
          <w:rFonts w:ascii="David" w:hAnsi="David" w:cs="David" w:hint="cs"/>
          <w:b/>
          <w:bCs/>
          <w:rtl/>
        </w:rPr>
        <w:t>פליטת</w:t>
      </w:r>
      <w:r w:rsidRPr="00B57A48">
        <w:rPr>
          <w:rFonts w:ascii="David" w:hAnsi="David" w:cs="David"/>
          <w:b/>
          <w:bCs/>
          <w:rtl/>
        </w:rPr>
        <w:t xml:space="preserve"> </w:t>
      </w:r>
      <w:r w:rsidRPr="00B57A48">
        <w:rPr>
          <w:rFonts w:ascii="David" w:hAnsi="David" w:cs="David" w:hint="cs"/>
          <w:b/>
          <w:bCs/>
          <w:rtl/>
        </w:rPr>
        <w:t>מזהמים</w:t>
      </w:r>
      <w:r w:rsidRPr="00B57A48">
        <w:rPr>
          <w:rFonts w:ascii="David" w:hAnsi="David" w:cs="David"/>
          <w:b/>
          <w:bCs/>
          <w:rtl/>
        </w:rPr>
        <w:t xml:space="preserve"> </w:t>
      </w:r>
      <w:r w:rsidRPr="00B57A48">
        <w:rPr>
          <w:rFonts w:ascii="David" w:hAnsi="David" w:cs="David" w:hint="cs"/>
          <w:b/>
          <w:bCs/>
          <w:rtl/>
        </w:rPr>
        <w:t>לאוויר</w:t>
      </w:r>
      <w:r w:rsidRPr="00B57A48">
        <w:rPr>
          <w:rFonts w:ascii="David" w:hAnsi="David" w:cs="David"/>
          <w:b/>
          <w:bCs/>
          <w:rtl/>
        </w:rPr>
        <w:t xml:space="preserve">, </w:t>
      </w:r>
      <w:r w:rsidRPr="00B57A48">
        <w:rPr>
          <w:rFonts w:ascii="David" w:hAnsi="David" w:cs="David" w:hint="cs"/>
          <w:b/>
          <w:bCs/>
          <w:rtl/>
        </w:rPr>
        <w:t>סעיף</w:t>
      </w:r>
      <w:r w:rsidRPr="00B57A48">
        <w:rPr>
          <w:rFonts w:ascii="David" w:hAnsi="David" w:cs="David"/>
          <w:b/>
          <w:bCs/>
          <w:rtl/>
        </w:rPr>
        <w:t xml:space="preserve"> 31</w:t>
      </w:r>
      <w:r w:rsidR="002337B5">
        <w:rPr>
          <w:rFonts w:ascii="David" w:hAnsi="David" w:cs="David" w:hint="cs"/>
          <w:rtl/>
        </w:rPr>
        <w:t xml:space="preserve"> </w:t>
      </w:r>
      <w:r w:rsidR="0063494C">
        <w:rPr>
          <w:rFonts w:ascii="David" w:hAnsi="David" w:cs="David"/>
          <w:rtl/>
        </w:rPr>
        <w:t>–</w:t>
      </w:r>
      <w:r w:rsidR="00B60370">
        <w:rPr>
          <w:rFonts w:ascii="David" w:hAnsi="David" w:cs="David" w:hint="cs"/>
          <w:rtl/>
        </w:rPr>
        <w:t xml:space="preserve"> </w:t>
      </w:r>
      <w:r w:rsidR="0063494C">
        <w:rPr>
          <w:rFonts w:ascii="David" w:hAnsi="David" w:cs="David" w:hint="cs"/>
          <w:rtl/>
        </w:rPr>
        <w:t xml:space="preserve">בסעיף קטן (א) </w:t>
      </w:r>
      <w:r w:rsidR="00B60370">
        <w:rPr>
          <w:rFonts w:ascii="David" w:hAnsi="David" w:cs="David" w:hint="cs"/>
          <w:rtl/>
        </w:rPr>
        <w:t xml:space="preserve">נקבע </w:t>
      </w:r>
      <w:r w:rsidR="0063494C">
        <w:rPr>
          <w:rFonts w:ascii="David" w:hAnsi="David" w:cs="David" w:hint="cs"/>
          <w:rtl/>
        </w:rPr>
        <w:t xml:space="preserve">כי מדובר בתקנות רשות, וכי ניתן יהיה לקבוע את היטל על פליטה של מזהמים על כל בעל מקור פליטה ולא  רק על בעלי היתרי פליטה כפי שהיה בעבר. </w:t>
      </w:r>
      <w:r w:rsidR="009755F2">
        <w:rPr>
          <w:rFonts w:ascii="David" w:hAnsi="David" w:cs="David" w:hint="cs"/>
          <w:rtl/>
        </w:rPr>
        <w:t>נוסף על כך</w:t>
      </w:r>
      <w:r w:rsidR="0063494C">
        <w:rPr>
          <w:rFonts w:ascii="David" w:hAnsi="David" w:cs="David" w:hint="cs"/>
          <w:rtl/>
        </w:rPr>
        <w:t xml:space="preserve">, נקבע בסעיף קטן (ב) כי השר יוכל לקבוע שיעור מופחת של היטל לפי סעיף זה, בהתחשב, בין השאר, באגרות או </w:t>
      </w:r>
      <w:r w:rsidR="009755F2">
        <w:rPr>
          <w:rFonts w:ascii="David" w:hAnsi="David" w:cs="David" w:hint="cs"/>
          <w:rtl/>
        </w:rPr>
        <w:t>ב</w:t>
      </w:r>
      <w:r w:rsidR="0063494C">
        <w:rPr>
          <w:rFonts w:ascii="David" w:hAnsi="David" w:cs="David" w:hint="cs"/>
          <w:rtl/>
        </w:rPr>
        <w:t>מיסים אחרים המשולמים לפי כל דין ישירות או בעקיפין בשל פליטה של מזהמים ממקור פליטה.</w:t>
      </w:r>
    </w:p>
    <w:p w14:paraId="0F93F19E" w14:textId="5676BC04" w:rsidR="003F4E04" w:rsidRDefault="003F4E04" w:rsidP="00CF6F1B">
      <w:pPr>
        <w:pStyle w:val="ListParagraph"/>
        <w:numPr>
          <w:ilvl w:val="1"/>
          <w:numId w:val="1"/>
        </w:numPr>
        <w:spacing w:line="360" w:lineRule="auto"/>
        <w:jc w:val="both"/>
        <w:rPr>
          <w:rFonts w:ascii="David" w:hAnsi="David" w:cs="David"/>
        </w:rPr>
      </w:pPr>
      <w:r w:rsidRPr="003F4E04">
        <w:rPr>
          <w:rFonts w:ascii="David" w:hAnsi="David" w:cs="David" w:hint="cs"/>
          <w:rtl/>
        </w:rPr>
        <w:t>צו מ</w:t>
      </w:r>
      <w:r w:rsidR="009755F2">
        <w:rPr>
          <w:rFonts w:ascii="David" w:hAnsi="David" w:cs="David" w:hint="cs"/>
          <w:rtl/>
        </w:rPr>
        <w:t>ִ</w:t>
      </w:r>
      <w:r w:rsidRPr="003F4E04">
        <w:rPr>
          <w:rFonts w:ascii="David" w:hAnsi="David" w:cs="David" w:hint="cs"/>
          <w:rtl/>
        </w:rPr>
        <w:t>נהלי למניעה או לצמצום של זיהום האוויר, סעיף 45</w:t>
      </w:r>
      <w:r w:rsidR="009755F2">
        <w:rPr>
          <w:rFonts w:ascii="David" w:hAnsi="David" w:cs="David" w:hint="cs"/>
          <w:rtl/>
        </w:rPr>
        <w:t xml:space="preserve"> </w:t>
      </w:r>
      <w:r>
        <w:rPr>
          <w:rFonts w:ascii="David" w:hAnsi="David" w:cs="David"/>
          <w:rtl/>
        </w:rPr>
        <w:t>–</w:t>
      </w:r>
      <w:r>
        <w:rPr>
          <w:rFonts w:ascii="David" w:hAnsi="David" w:cs="David" w:hint="cs"/>
          <w:rtl/>
        </w:rPr>
        <w:t xml:space="preserve"> הובהר כי צו כאמור יכול להינתן גם כאשר נגרם זיהום האוויר במעשה או </w:t>
      </w:r>
      <w:r w:rsidR="009755F2">
        <w:rPr>
          <w:rFonts w:ascii="David" w:hAnsi="David" w:cs="David" w:hint="cs"/>
          <w:rtl/>
        </w:rPr>
        <w:t>ב</w:t>
      </w:r>
      <w:r>
        <w:rPr>
          <w:rFonts w:ascii="David" w:hAnsi="David" w:cs="David" w:hint="cs"/>
          <w:rtl/>
        </w:rPr>
        <w:t>מחדל בניגוד לתנאי היתר הפליטה. יודגש כי מדובר בהבהרת הנוסח, ואין בכך שינוי לעומת המצב החוקי הקודם.</w:t>
      </w:r>
    </w:p>
    <w:p w14:paraId="16630DB1" w14:textId="77ED0615" w:rsidR="00E26FBD" w:rsidRDefault="00E26FBD" w:rsidP="00CF6F1B">
      <w:pPr>
        <w:pStyle w:val="ListParagraph"/>
        <w:numPr>
          <w:ilvl w:val="1"/>
          <w:numId w:val="1"/>
        </w:numPr>
        <w:spacing w:line="360" w:lineRule="auto"/>
        <w:jc w:val="both"/>
        <w:rPr>
          <w:rFonts w:ascii="David" w:hAnsi="David" w:cs="David"/>
        </w:rPr>
      </w:pPr>
      <w:r w:rsidRPr="003F4E04">
        <w:rPr>
          <w:rFonts w:ascii="David" w:hAnsi="David" w:cs="David" w:hint="cs"/>
          <w:rtl/>
        </w:rPr>
        <w:t>עיצום כספי בשל הפרה לפי חוק זה ולפי חוק אחר, סעיף 61א</w:t>
      </w:r>
      <w:r w:rsidR="00B60370">
        <w:rPr>
          <w:rFonts w:ascii="David" w:hAnsi="David" w:cs="David" w:hint="cs"/>
          <w:rtl/>
        </w:rPr>
        <w:t xml:space="preserve"> </w:t>
      </w:r>
      <w:r>
        <w:rPr>
          <w:rFonts w:ascii="David" w:hAnsi="David" w:cs="David"/>
          <w:rtl/>
        </w:rPr>
        <w:t>–</w:t>
      </w:r>
      <w:r>
        <w:rPr>
          <w:rFonts w:ascii="David" w:hAnsi="David" w:cs="David" w:hint="cs"/>
          <w:rtl/>
        </w:rPr>
        <w:t xml:space="preserve"> נקבע</w:t>
      </w:r>
      <w:r w:rsidR="00B60370">
        <w:rPr>
          <w:rFonts w:ascii="David" w:hAnsi="David" w:cs="David" w:hint="cs"/>
          <w:rtl/>
        </w:rPr>
        <w:t>, בהתאם לנוסחים מעודכנים של חקיקת עיצומים כספיים,</w:t>
      </w:r>
      <w:r>
        <w:rPr>
          <w:rFonts w:ascii="David" w:hAnsi="David" w:cs="David" w:hint="cs"/>
          <w:rtl/>
        </w:rPr>
        <w:t xml:space="preserve"> כי על מעשה אחד המהווה כמה הפרות של הוראות לפי חוק זה, המנויות בסעיף 53, או לפי חוק אחר, לא יוטל יותר מעיצום כספי אחד.</w:t>
      </w:r>
    </w:p>
    <w:p w14:paraId="21EF8FD7" w14:textId="2417BAE0" w:rsidR="00E26FBD" w:rsidRDefault="00E26FBD" w:rsidP="00CF6F1B">
      <w:pPr>
        <w:pStyle w:val="ListParagraph"/>
        <w:numPr>
          <w:ilvl w:val="1"/>
          <w:numId w:val="1"/>
        </w:numPr>
        <w:spacing w:line="360" w:lineRule="auto"/>
        <w:jc w:val="both"/>
        <w:rPr>
          <w:rFonts w:ascii="David" w:hAnsi="David" w:cs="David"/>
        </w:rPr>
      </w:pPr>
      <w:r>
        <w:rPr>
          <w:rFonts w:ascii="David" w:hAnsi="David" w:cs="David" w:hint="cs"/>
          <w:rtl/>
        </w:rPr>
        <w:t>סמכויות בית משפט, סעיף 65</w:t>
      </w:r>
      <w:r w:rsidR="009755F2">
        <w:rPr>
          <w:rFonts w:ascii="David" w:hAnsi="David" w:cs="David" w:hint="cs"/>
          <w:rtl/>
        </w:rPr>
        <w:t xml:space="preserve"> </w:t>
      </w:r>
      <w:r>
        <w:rPr>
          <w:rFonts w:ascii="David" w:hAnsi="David" w:cs="David"/>
          <w:rtl/>
        </w:rPr>
        <w:t>–</w:t>
      </w:r>
      <w:r w:rsidR="001162D1">
        <w:rPr>
          <w:rFonts w:ascii="David" w:hAnsi="David" w:cs="David" w:hint="cs"/>
          <w:rtl/>
        </w:rPr>
        <w:t xml:space="preserve"> </w:t>
      </w:r>
      <w:r>
        <w:rPr>
          <w:rFonts w:ascii="David" w:hAnsi="David" w:cs="David" w:hint="cs"/>
          <w:rtl/>
        </w:rPr>
        <w:t xml:space="preserve">בסעיף קטן (א) קבוע כי בית משפט מוסמך, יוכל לתת צו עשה, אל תעשה וכל סעד אחר לאחר הגשת כתב אישום או קובלנה בשל עבירה לפי החוק, והובהר כי סמכות זאת היא לרבות במקרים בהם התקיימה פעילות ללא היתר או בניגוד לתנאיו. </w:t>
      </w:r>
      <w:r w:rsidR="00B60370">
        <w:rPr>
          <w:rFonts w:ascii="David" w:hAnsi="David" w:cs="David" w:hint="cs"/>
          <w:rtl/>
        </w:rPr>
        <w:t>יודגש כי מדובר בהבהרת הנוסח, ואין בכך שינוי לעומת המצב החוקי הקודם.</w:t>
      </w:r>
    </w:p>
    <w:p w14:paraId="29CD3AEA" w14:textId="23A449FE" w:rsidR="00E26FBD" w:rsidRDefault="00E26FBD" w:rsidP="00CF6F1B">
      <w:pPr>
        <w:pStyle w:val="ListParagraph"/>
        <w:numPr>
          <w:ilvl w:val="1"/>
          <w:numId w:val="1"/>
        </w:numPr>
        <w:spacing w:line="360" w:lineRule="auto"/>
        <w:jc w:val="both"/>
        <w:rPr>
          <w:rFonts w:ascii="David" w:hAnsi="David" w:cs="David"/>
        </w:rPr>
      </w:pPr>
      <w:r>
        <w:rPr>
          <w:rFonts w:ascii="David" w:hAnsi="David" w:cs="David" w:hint="cs"/>
          <w:rtl/>
        </w:rPr>
        <w:lastRenderedPageBreak/>
        <w:t>תחולת פקוד</w:t>
      </w:r>
      <w:r w:rsidR="009E064D">
        <w:rPr>
          <w:rFonts w:ascii="David" w:hAnsi="David" w:cs="David" w:hint="cs"/>
          <w:rtl/>
        </w:rPr>
        <w:t>ת</w:t>
      </w:r>
      <w:r>
        <w:rPr>
          <w:rFonts w:ascii="David" w:hAnsi="David" w:cs="David" w:hint="cs"/>
          <w:rtl/>
        </w:rPr>
        <w:t xml:space="preserve"> המיסים (גבייה), סעיף 76</w:t>
      </w:r>
      <w:r w:rsidR="009E064D">
        <w:rPr>
          <w:rFonts w:ascii="David" w:hAnsi="David" w:cs="David" w:hint="cs"/>
          <w:rtl/>
        </w:rPr>
        <w:t xml:space="preserve"> </w:t>
      </w:r>
      <w:r>
        <w:rPr>
          <w:rFonts w:ascii="David" w:hAnsi="David" w:cs="David"/>
          <w:rtl/>
        </w:rPr>
        <w:t>–</w:t>
      </w:r>
      <w:r>
        <w:rPr>
          <w:rFonts w:ascii="David" w:hAnsi="David" w:cs="David" w:hint="cs"/>
          <w:rtl/>
        </w:rPr>
        <w:t xml:space="preserve"> סעיף זה בוטל. </w:t>
      </w:r>
      <w:r w:rsidR="009E064D">
        <w:rPr>
          <w:rFonts w:ascii="David" w:hAnsi="David" w:cs="David" w:hint="cs"/>
          <w:rtl/>
        </w:rPr>
        <w:t>יובהר כי ממילא סמכויות הגבייה לפי הסעיפים הרלוונטיים בחוק מופעלות על ידי המרכז לגביית קנסות.</w:t>
      </w:r>
    </w:p>
    <w:p w14:paraId="7CDEB31E" w14:textId="3668E0E6" w:rsidR="0075545E" w:rsidRDefault="0075545E" w:rsidP="0075545E">
      <w:pPr>
        <w:pStyle w:val="ListParagraph"/>
        <w:numPr>
          <w:ilvl w:val="0"/>
          <w:numId w:val="1"/>
        </w:numPr>
        <w:spacing w:line="360" w:lineRule="auto"/>
        <w:jc w:val="both"/>
        <w:rPr>
          <w:rFonts w:ascii="David" w:hAnsi="David" w:cs="David"/>
        </w:rPr>
      </w:pPr>
      <w:r>
        <w:rPr>
          <w:rFonts w:ascii="David" w:hAnsi="David" w:cs="David" w:hint="cs"/>
          <w:rtl/>
        </w:rPr>
        <w:t xml:space="preserve">החל מיום 1.9.24 ועד ליום 1.1.27 יחולו שינויים בהוראות </w:t>
      </w:r>
      <w:r w:rsidRPr="009755F2">
        <w:rPr>
          <w:rFonts w:ascii="David" w:hAnsi="David" w:cs="David" w:hint="cs"/>
          <w:b/>
          <w:bCs/>
          <w:rtl/>
        </w:rPr>
        <w:t>חוק החומרים המסוכנים</w:t>
      </w:r>
      <w:r>
        <w:rPr>
          <w:rFonts w:ascii="David" w:hAnsi="David" w:cs="David" w:hint="cs"/>
          <w:rtl/>
        </w:rPr>
        <w:t xml:space="preserve"> כמפורט להלן </w:t>
      </w:r>
      <w:r>
        <w:rPr>
          <w:rFonts w:ascii="David" w:hAnsi="David" w:cs="David"/>
          <w:rtl/>
        </w:rPr>
        <w:t>–</w:t>
      </w:r>
      <w:r>
        <w:rPr>
          <w:rFonts w:ascii="David" w:hAnsi="David" w:cs="David" w:hint="cs"/>
          <w:rtl/>
        </w:rPr>
        <w:t xml:space="preserve"> </w:t>
      </w:r>
    </w:p>
    <w:p w14:paraId="50DBB5AB" w14:textId="5AD025A1" w:rsidR="00E23A7E" w:rsidRDefault="0080046F" w:rsidP="0075545E">
      <w:pPr>
        <w:pStyle w:val="ListParagraph"/>
        <w:numPr>
          <w:ilvl w:val="1"/>
          <w:numId w:val="1"/>
        </w:numPr>
        <w:spacing w:line="360" w:lineRule="auto"/>
        <w:jc w:val="both"/>
        <w:rPr>
          <w:rFonts w:ascii="David" w:hAnsi="David" w:cs="David"/>
        </w:rPr>
      </w:pPr>
      <w:r w:rsidRPr="009755F2">
        <w:rPr>
          <w:rFonts w:ascii="David" w:hAnsi="David" w:cs="David" w:hint="cs"/>
          <w:b/>
          <w:bCs/>
          <w:rtl/>
        </w:rPr>
        <w:t>חובת</w:t>
      </w:r>
      <w:r w:rsidRPr="009755F2">
        <w:rPr>
          <w:rFonts w:ascii="David" w:hAnsi="David" w:cs="David"/>
          <w:b/>
          <w:bCs/>
          <w:rtl/>
        </w:rPr>
        <w:t xml:space="preserve"> </w:t>
      </w:r>
      <w:r w:rsidRPr="009755F2">
        <w:rPr>
          <w:rFonts w:ascii="David" w:hAnsi="David" w:cs="David" w:hint="cs"/>
          <w:b/>
          <w:bCs/>
          <w:rtl/>
        </w:rPr>
        <w:t>רישוי</w:t>
      </w:r>
      <w:r w:rsidRPr="009755F2">
        <w:rPr>
          <w:rFonts w:ascii="David" w:hAnsi="David" w:cs="David"/>
          <w:b/>
          <w:bCs/>
          <w:rtl/>
        </w:rPr>
        <w:t xml:space="preserve">, </w:t>
      </w:r>
      <w:r w:rsidRPr="009755F2">
        <w:rPr>
          <w:rFonts w:ascii="David" w:hAnsi="David" w:cs="David" w:hint="cs"/>
          <w:b/>
          <w:bCs/>
          <w:rtl/>
        </w:rPr>
        <w:t>סעיף</w:t>
      </w:r>
      <w:r w:rsidRPr="009755F2">
        <w:rPr>
          <w:rFonts w:ascii="David" w:hAnsi="David" w:cs="David"/>
          <w:b/>
          <w:bCs/>
          <w:rtl/>
        </w:rPr>
        <w:t xml:space="preserve"> 2</w:t>
      </w:r>
      <w:r w:rsidRPr="009755F2">
        <w:rPr>
          <w:rFonts w:ascii="David" w:hAnsi="David" w:cs="David" w:hint="cs"/>
          <w:b/>
          <w:bCs/>
          <w:rtl/>
        </w:rPr>
        <w:t xml:space="preserve"> </w:t>
      </w:r>
      <w:r>
        <w:rPr>
          <w:rFonts w:ascii="David" w:hAnsi="David" w:cs="David"/>
          <w:rtl/>
        </w:rPr>
        <w:t>–</w:t>
      </w:r>
      <w:r>
        <w:rPr>
          <w:rFonts w:ascii="David" w:hAnsi="David" w:cs="David" w:hint="cs"/>
          <w:rtl/>
        </w:rPr>
        <w:t xml:space="preserve"> בוטל. הסעיף עסק בהיותם של עסקים למכירת חומרים מסוכנים טעוני רישוי לפי חוק רישוי עסקים. ממילא, קיימת חובה בנושא זה בחוק רישוי עסקים וצווים שנקבעו מכוחו.</w:t>
      </w:r>
    </w:p>
    <w:p w14:paraId="38A46C89" w14:textId="42C21089" w:rsidR="001162D1" w:rsidRDefault="001162D1" w:rsidP="0075545E">
      <w:pPr>
        <w:pStyle w:val="ListParagraph"/>
        <w:numPr>
          <w:ilvl w:val="1"/>
          <w:numId w:val="1"/>
        </w:numPr>
        <w:spacing w:line="360" w:lineRule="auto"/>
        <w:jc w:val="both"/>
        <w:rPr>
          <w:rFonts w:ascii="David" w:hAnsi="David" w:cs="David"/>
        </w:rPr>
      </w:pPr>
      <w:r w:rsidRPr="009755F2">
        <w:rPr>
          <w:rFonts w:ascii="David" w:hAnsi="David" w:cs="David" w:hint="cs"/>
          <w:b/>
          <w:bCs/>
          <w:rtl/>
        </w:rPr>
        <w:t>פנקסי</w:t>
      </w:r>
      <w:r w:rsidRPr="009755F2">
        <w:rPr>
          <w:rFonts w:ascii="David" w:hAnsi="David" w:cs="David"/>
          <w:b/>
          <w:bCs/>
          <w:rtl/>
        </w:rPr>
        <w:t xml:space="preserve"> </w:t>
      </w:r>
      <w:r w:rsidRPr="009755F2">
        <w:rPr>
          <w:rFonts w:ascii="David" w:hAnsi="David" w:cs="David" w:hint="cs"/>
          <w:b/>
          <w:bCs/>
          <w:rtl/>
        </w:rPr>
        <w:t>רעלים</w:t>
      </w:r>
      <w:r w:rsidRPr="009755F2">
        <w:rPr>
          <w:rFonts w:ascii="David" w:hAnsi="David" w:cs="David"/>
          <w:b/>
          <w:bCs/>
          <w:rtl/>
        </w:rPr>
        <w:t xml:space="preserve">, </w:t>
      </w:r>
      <w:r w:rsidRPr="009755F2">
        <w:rPr>
          <w:rFonts w:ascii="David" w:hAnsi="David" w:cs="David" w:hint="cs"/>
          <w:b/>
          <w:bCs/>
          <w:rtl/>
        </w:rPr>
        <w:t>סעיף</w:t>
      </w:r>
      <w:r w:rsidRPr="009755F2">
        <w:rPr>
          <w:rFonts w:ascii="David" w:hAnsi="David" w:cs="David"/>
          <w:b/>
          <w:bCs/>
          <w:rtl/>
        </w:rPr>
        <w:t xml:space="preserve"> 5</w:t>
      </w:r>
      <w:r>
        <w:rPr>
          <w:rFonts w:ascii="David" w:hAnsi="David" w:cs="David" w:hint="cs"/>
          <w:rtl/>
        </w:rPr>
        <w:t xml:space="preserve"> </w:t>
      </w:r>
      <w:r>
        <w:rPr>
          <w:rFonts w:ascii="David" w:hAnsi="David" w:cs="David"/>
          <w:rtl/>
        </w:rPr>
        <w:t>–</w:t>
      </w:r>
      <w:r>
        <w:rPr>
          <w:rFonts w:ascii="David" w:hAnsi="David" w:cs="David" w:hint="cs"/>
          <w:rtl/>
        </w:rPr>
        <w:t xml:space="preserve"> בוטל. יודגש</w:t>
      </w:r>
      <w:r w:rsidR="009755F2">
        <w:rPr>
          <w:rFonts w:ascii="David" w:hAnsi="David" w:cs="David" w:hint="cs"/>
          <w:rtl/>
        </w:rPr>
        <w:t xml:space="preserve"> </w:t>
      </w:r>
      <w:r>
        <w:rPr>
          <w:rFonts w:ascii="David" w:hAnsi="David" w:cs="David" w:hint="cs"/>
          <w:rtl/>
        </w:rPr>
        <w:t xml:space="preserve">כי </w:t>
      </w:r>
      <w:r w:rsidR="003F4E04">
        <w:rPr>
          <w:rFonts w:ascii="David" w:hAnsi="David" w:cs="David" w:hint="cs"/>
          <w:rtl/>
        </w:rPr>
        <w:t>ה</w:t>
      </w:r>
      <w:r>
        <w:rPr>
          <w:rFonts w:ascii="David" w:hAnsi="David" w:cs="David" w:hint="cs"/>
          <w:rtl/>
        </w:rPr>
        <w:t>הוראות בנושא פנקסי רעלים</w:t>
      </w:r>
      <w:r w:rsidR="003F4E04">
        <w:rPr>
          <w:rFonts w:ascii="David" w:hAnsi="David" w:cs="David" w:hint="cs"/>
          <w:rtl/>
        </w:rPr>
        <w:t>, תיעוד ורישום לעניין סחר ברעלים ייקבעו בהיתרי רעלים או בתקנות.</w:t>
      </w:r>
      <w:r>
        <w:rPr>
          <w:rFonts w:ascii="David" w:hAnsi="David" w:cs="David" w:hint="cs"/>
          <w:rtl/>
        </w:rPr>
        <w:t xml:space="preserve"> </w:t>
      </w:r>
      <w:r w:rsidR="003F4E04">
        <w:rPr>
          <w:rFonts w:ascii="David" w:hAnsi="David" w:cs="David" w:hint="cs"/>
          <w:rtl/>
        </w:rPr>
        <w:t xml:space="preserve">הוראות </w:t>
      </w:r>
      <w:r>
        <w:rPr>
          <w:rFonts w:ascii="David" w:hAnsi="David" w:cs="David" w:hint="cs"/>
          <w:rtl/>
        </w:rPr>
        <w:t xml:space="preserve">שנקבעו בהיתרי רעלים </w:t>
      </w:r>
      <w:r w:rsidR="003F4E04">
        <w:rPr>
          <w:rFonts w:ascii="David" w:hAnsi="David" w:cs="David" w:hint="cs"/>
          <w:rtl/>
        </w:rPr>
        <w:t xml:space="preserve">לעניין זה </w:t>
      </w:r>
      <w:r>
        <w:rPr>
          <w:rFonts w:ascii="David" w:hAnsi="David" w:cs="David" w:hint="cs"/>
          <w:rtl/>
        </w:rPr>
        <w:t xml:space="preserve">ממשיכות לעמוד בתוקפן. </w:t>
      </w:r>
    </w:p>
    <w:p w14:paraId="50493B8A" w14:textId="186299BD" w:rsidR="0092397C" w:rsidRDefault="001162D1" w:rsidP="0075545E">
      <w:pPr>
        <w:pStyle w:val="ListParagraph"/>
        <w:numPr>
          <w:ilvl w:val="1"/>
          <w:numId w:val="1"/>
        </w:numPr>
        <w:spacing w:line="360" w:lineRule="auto"/>
        <w:jc w:val="both"/>
        <w:rPr>
          <w:rFonts w:ascii="David" w:hAnsi="David" w:cs="David"/>
        </w:rPr>
      </w:pPr>
      <w:r>
        <w:rPr>
          <w:rFonts w:ascii="David" w:hAnsi="David" w:cs="David" w:hint="cs"/>
          <w:rtl/>
        </w:rPr>
        <w:t xml:space="preserve">שינוי התוספות והחלפתן, סעיף </w:t>
      </w:r>
      <w:r w:rsidR="005E1683">
        <w:rPr>
          <w:rFonts w:ascii="David" w:hAnsi="David" w:cs="David" w:hint="cs"/>
          <w:rtl/>
        </w:rPr>
        <w:t>11</w:t>
      </w:r>
      <w:r w:rsidR="009755F2">
        <w:rPr>
          <w:rFonts w:ascii="David" w:hAnsi="David" w:cs="David" w:hint="cs"/>
          <w:rtl/>
        </w:rPr>
        <w:t xml:space="preserve"> </w:t>
      </w:r>
      <w:r w:rsidR="009755F2" w:rsidRPr="00B94E26">
        <w:rPr>
          <w:rFonts w:ascii="David" w:hAnsi="David" w:cs="David"/>
          <w:rtl/>
        </w:rPr>
        <w:t>–</w:t>
      </w:r>
      <w:r w:rsidR="005E1683">
        <w:rPr>
          <w:rFonts w:ascii="David" w:hAnsi="David" w:cs="David" w:hint="cs"/>
          <w:rtl/>
        </w:rPr>
        <w:t xml:space="preserve"> נקבע כי ניתן יהיה לשנות את התוספות השלישית, הרביעית, החמישית והשישית באישור ועדת הפנים והגנת הסביבה של הכנסת</w:t>
      </w:r>
      <w:r w:rsidR="006F09AD">
        <w:rPr>
          <w:rFonts w:ascii="David" w:hAnsi="David" w:cs="David" w:hint="cs"/>
          <w:rtl/>
        </w:rPr>
        <w:t>.</w:t>
      </w:r>
      <w:r w:rsidR="005E1683">
        <w:rPr>
          <w:rFonts w:ascii="David" w:hAnsi="David" w:cs="David" w:hint="cs"/>
          <w:rtl/>
        </w:rPr>
        <w:t xml:space="preserve"> </w:t>
      </w:r>
      <w:r w:rsidR="006F09AD">
        <w:rPr>
          <w:rFonts w:ascii="David" w:hAnsi="David" w:cs="David" w:hint="cs"/>
          <w:rtl/>
        </w:rPr>
        <w:t xml:space="preserve">תיקון </w:t>
      </w:r>
      <w:r w:rsidR="005E1683">
        <w:rPr>
          <w:rFonts w:ascii="David" w:hAnsi="David" w:cs="David" w:hint="cs"/>
          <w:rtl/>
        </w:rPr>
        <w:t>התוספת השישית טעו</w:t>
      </w:r>
      <w:r w:rsidR="006F09AD">
        <w:rPr>
          <w:rFonts w:ascii="David" w:hAnsi="David" w:cs="David" w:hint="cs"/>
          <w:rtl/>
        </w:rPr>
        <w:t>ן</w:t>
      </w:r>
      <w:r w:rsidR="005E1683">
        <w:rPr>
          <w:rFonts w:ascii="David" w:hAnsi="David" w:cs="David" w:hint="cs"/>
          <w:rtl/>
        </w:rPr>
        <w:t xml:space="preserve"> גם אישור שר המשפטים.</w:t>
      </w:r>
    </w:p>
    <w:p w14:paraId="549A7B17" w14:textId="77777777" w:rsidR="0092397C" w:rsidRDefault="0092397C" w:rsidP="0075545E">
      <w:pPr>
        <w:pStyle w:val="ListParagraph"/>
        <w:numPr>
          <w:ilvl w:val="1"/>
          <w:numId w:val="1"/>
        </w:numPr>
        <w:spacing w:line="360" w:lineRule="auto"/>
        <w:jc w:val="both"/>
        <w:rPr>
          <w:rFonts w:ascii="David" w:hAnsi="David" w:cs="David"/>
        </w:rPr>
      </w:pPr>
      <w:r>
        <w:rPr>
          <w:rFonts w:ascii="David" w:hAnsi="David" w:cs="David" w:hint="cs"/>
          <w:rtl/>
        </w:rPr>
        <w:t xml:space="preserve">התקנת תקנות, סעיף 12 </w:t>
      </w:r>
      <w:r>
        <w:rPr>
          <w:rFonts w:ascii="David" w:hAnsi="David" w:cs="David"/>
          <w:rtl/>
        </w:rPr>
        <w:t>–</w:t>
      </w:r>
      <w:r>
        <w:rPr>
          <w:rFonts w:ascii="David" w:hAnsi="David" w:cs="David" w:hint="cs"/>
          <w:rtl/>
        </w:rPr>
        <w:t xml:space="preserve"> </w:t>
      </w:r>
    </w:p>
    <w:p w14:paraId="617BEE49" w14:textId="09DBE986" w:rsidR="001162D1" w:rsidRDefault="0092397C" w:rsidP="0092397C">
      <w:pPr>
        <w:pStyle w:val="ListParagraph"/>
        <w:numPr>
          <w:ilvl w:val="2"/>
          <w:numId w:val="1"/>
        </w:numPr>
        <w:spacing w:line="360" w:lineRule="auto"/>
        <w:jc w:val="both"/>
        <w:rPr>
          <w:rFonts w:ascii="David" w:hAnsi="David" w:cs="David"/>
        </w:rPr>
      </w:pPr>
      <w:r>
        <w:rPr>
          <w:rFonts w:ascii="David" w:hAnsi="David" w:cs="David" w:hint="cs"/>
          <w:rtl/>
        </w:rPr>
        <w:t xml:space="preserve">בסעיף קטן (1) הובהר כי ניתן יהיה לקבוע הוראות גם בעניין ניטור, דיגום, דיווח, רישום ותיעוד, וכן הטיפול בפסולת חומרים מסוכנים וסיווג חומרים מסוכנים לפי השיקולים האמורים בסעיף 10(1), דהיינו סיווג רעלים, פטור מתחולת הוראות, וקביעת הוראות לגבי רעלים או סוגים של רעלים. </w:t>
      </w:r>
      <w:r w:rsidR="001162D1">
        <w:rPr>
          <w:rFonts w:ascii="David" w:hAnsi="David" w:cs="David" w:hint="cs"/>
          <w:rtl/>
        </w:rPr>
        <w:t xml:space="preserve"> </w:t>
      </w:r>
    </w:p>
    <w:p w14:paraId="1DABB8F2" w14:textId="345A7881" w:rsidR="0092397C" w:rsidRDefault="0092397C" w:rsidP="0092397C">
      <w:pPr>
        <w:pStyle w:val="ListParagraph"/>
        <w:numPr>
          <w:ilvl w:val="2"/>
          <w:numId w:val="1"/>
        </w:numPr>
        <w:spacing w:line="360" w:lineRule="auto"/>
        <w:jc w:val="both"/>
        <w:rPr>
          <w:rFonts w:ascii="David" w:hAnsi="David" w:cs="David"/>
        </w:rPr>
      </w:pPr>
      <w:r>
        <w:rPr>
          <w:rFonts w:ascii="David" w:hAnsi="David" w:cs="David" w:hint="cs"/>
          <w:rtl/>
        </w:rPr>
        <w:t>בסעיף קטן (1א) נקבע שניתן לקבוע תקנות לעניין תנאי כשירות של עוסק או מי מטעמו או אחראי רעלים, וזאת באישור ועדת הפנים והגנת הסביבה</w:t>
      </w:r>
      <w:r w:rsidR="006F09AD">
        <w:rPr>
          <w:rFonts w:ascii="David" w:hAnsi="David" w:cs="David" w:hint="cs"/>
          <w:rtl/>
        </w:rPr>
        <w:t xml:space="preserve"> של הכנסת</w:t>
      </w:r>
      <w:r>
        <w:rPr>
          <w:rFonts w:ascii="David" w:hAnsi="David" w:cs="David" w:hint="cs"/>
          <w:rtl/>
        </w:rPr>
        <w:t>.</w:t>
      </w:r>
    </w:p>
    <w:p w14:paraId="4F9232FD" w14:textId="26D7C3EA" w:rsidR="00DF4453" w:rsidRDefault="00DF4453" w:rsidP="00DF4453">
      <w:pPr>
        <w:pStyle w:val="ListParagraph"/>
        <w:numPr>
          <w:ilvl w:val="1"/>
          <w:numId w:val="1"/>
        </w:numPr>
        <w:spacing w:line="360" w:lineRule="auto"/>
        <w:jc w:val="both"/>
        <w:rPr>
          <w:rFonts w:ascii="David" w:hAnsi="David" w:cs="David"/>
        </w:rPr>
      </w:pPr>
      <w:r>
        <w:rPr>
          <w:rFonts w:ascii="David" w:hAnsi="David" w:cs="David" w:hint="cs"/>
          <w:rtl/>
        </w:rPr>
        <w:t xml:space="preserve">סייג לסמכויות, סעיף 13 </w:t>
      </w:r>
      <w:r>
        <w:rPr>
          <w:rFonts w:ascii="David" w:hAnsi="David" w:cs="David"/>
          <w:rtl/>
        </w:rPr>
        <w:t>–</w:t>
      </w:r>
      <w:r>
        <w:rPr>
          <w:rFonts w:ascii="David" w:hAnsi="David" w:cs="David" w:hint="cs"/>
          <w:rtl/>
        </w:rPr>
        <w:t xml:space="preserve"> בסעיף זה קבוע כי התקנת תקנות לפי סעיפים 10</w:t>
      </w:r>
      <w:r w:rsidR="00043846">
        <w:rPr>
          <w:rFonts w:ascii="David" w:hAnsi="David" w:cs="David" w:hint="cs"/>
          <w:rtl/>
        </w:rPr>
        <w:t xml:space="preserve">, </w:t>
      </w:r>
      <w:r>
        <w:rPr>
          <w:rFonts w:ascii="David" w:hAnsi="David" w:cs="David" w:hint="cs"/>
          <w:rtl/>
        </w:rPr>
        <w:t>11 ו-12 ת</w:t>
      </w:r>
      <w:r w:rsidR="009755F2">
        <w:rPr>
          <w:rFonts w:ascii="David" w:hAnsi="David" w:cs="David" w:hint="cs"/>
          <w:rtl/>
        </w:rPr>
        <w:t>י</w:t>
      </w:r>
      <w:r>
        <w:rPr>
          <w:rFonts w:ascii="David" w:hAnsi="David" w:cs="David" w:hint="cs"/>
          <w:rtl/>
        </w:rPr>
        <w:t xml:space="preserve">עשה לאחר התייעצות עם שר הבריאות, </w:t>
      </w:r>
      <w:r w:rsidR="00043846">
        <w:rPr>
          <w:rFonts w:ascii="David" w:hAnsi="David" w:cs="David" w:hint="cs"/>
          <w:rtl/>
        </w:rPr>
        <w:t>שר ה</w:t>
      </w:r>
      <w:r>
        <w:rPr>
          <w:rFonts w:ascii="David" w:hAnsi="David" w:cs="David" w:hint="cs"/>
          <w:rtl/>
        </w:rPr>
        <w:t>חקלאות ו</w:t>
      </w:r>
      <w:r w:rsidR="00043846">
        <w:rPr>
          <w:rFonts w:ascii="David" w:hAnsi="David" w:cs="David" w:hint="cs"/>
          <w:rtl/>
        </w:rPr>
        <w:t>שר הכלכלה וה</w:t>
      </w:r>
      <w:r>
        <w:rPr>
          <w:rFonts w:ascii="David" w:hAnsi="David" w:cs="David" w:hint="cs"/>
          <w:rtl/>
        </w:rPr>
        <w:t>תעשייה</w:t>
      </w:r>
      <w:r w:rsidR="00043846">
        <w:rPr>
          <w:rFonts w:ascii="David" w:hAnsi="David" w:cs="David" w:hint="cs"/>
          <w:rtl/>
        </w:rPr>
        <w:t>,</w:t>
      </w:r>
      <w:r>
        <w:rPr>
          <w:rFonts w:ascii="David" w:hAnsi="David" w:cs="David" w:hint="cs"/>
          <w:rtl/>
        </w:rPr>
        <w:t xml:space="preserve"> לפי העניין. בסעיף קטן (ב)</w:t>
      </w:r>
      <w:r w:rsidR="00043846">
        <w:rPr>
          <w:rFonts w:ascii="David" w:hAnsi="David" w:cs="David" w:hint="cs"/>
          <w:rtl/>
        </w:rPr>
        <w:t xml:space="preserve"> נוספה הוראה לפיה</w:t>
      </w:r>
      <w:r>
        <w:rPr>
          <w:rFonts w:ascii="David" w:hAnsi="David" w:cs="David" w:hint="cs"/>
          <w:rtl/>
        </w:rPr>
        <w:t xml:space="preserve"> אם השר להגנת הסביבה </w:t>
      </w:r>
      <w:r w:rsidR="00043846">
        <w:rPr>
          <w:rFonts w:ascii="David" w:hAnsi="David" w:cs="David" w:hint="cs"/>
          <w:rtl/>
        </w:rPr>
        <w:t xml:space="preserve">פנה בכתב </w:t>
      </w:r>
      <w:r>
        <w:rPr>
          <w:rFonts w:ascii="David" w:hAnsi="David" w:cs="David" w:hint="cs"/>
          <w:rtl/>
        </w:rPr>
        <w:t>להיוועצות בשרים ולא נענה בתוך 60 ימים, יראו את חובת ההתייעצות בתום התקופה האמורה כאילו קוימה.</w:t>
      </w:r>
    </w:p>
    <w:p w14:paraId="10CD7161" w14:textId="4F5CCA00" w:rsidR="002379C8" w:rsidRPr="00995C37" w:rsidRDefault="002379C8" w:rsidP="00DF4453">
      <w:pPr>
        <w:pStyle w:val="ListParagraph"/>
        <w:numPr>
          <w:ilvl w:val="1"/>
          <w:numId w:val="1"/>
        </w:numPr>
        <w:spacing w:line="360" w:lineRule="auto"/>
        <w:jc w:val="both"/>
        <w:rPr>
          <w:rFonts w:ascii="David" w:hAnsi="David" w:cs="David"/>
        </w:rPr>
      </w:pPr>
      <w:r>
        <w:rPr>
          <w:rFonts w:ascii="David" w:hAnsi="David" w:cs="David" w:hint="cs"/>
          <w:rtl/>
        </w:rPr>
        <w:t xml:space="preserve">אגרות, סעיף 14 </w:t>
      </w:r>
      <w:r>
        <w:rPr>
          <w:rFonts w:ascii="David" w:hAnsi="David" w:cs="David"/>
          <w:rtl/>
        </w:rPr>
        <w:t>–</w:t>
      </w:r>
      <w:r>
        <w:rPr>
          <w:rFonts w:ascii="David" w:hAnsi="David" w:cs="David" w:hint="cs"/>
          <w:rtl/>
        </w:rPr>
        <w:t xml:space="preserve"> הורחבה הסמכות להתקין תקנות בנושא אגרות בעד בקשה להיתר רעלים, בקשה לחידושו של היתר רעלים, ובקשה לעריכת שינוי הפעלה משמעותי, בעד הגשת השגה ובעד היתרים אחרים או אישורים לפי חוק החומרים </w:t>
      </w:r>
      <w:r w:rsidRPr="00995C37">
        <w:rPr>
          <w:rFonts w:ascii="David" w:hAnsi="David" w:cs="David" w:hint="cs"/>
          <w:rtl/>
        </w:rPr>
        <w:t xml:space="preserve">המסוכנים. </w:t>
      </w:r>
    </w:p>
    <w:p w14:paraId="5E1E97DF" w14:textId="14424EB1" w:rsidR="002379C8" w:rsidRPr="00995C37" w:rsidRDefault="002379C8" w:rsidP="00DF4453">
      <w:pPr>
        <w:pStyle w:val="ListParagraph"/>
        <w:numPr>
          <w:ilvl w:val="1"/>
          <w:numId w:val="1"/>
        </w:numPr>
        <w:spacing w:line="360" w:lineRule="auto"/>
        <w:jc w:val="both"/>
        <w:rPr>
          <w:rFonts w:ascii="David" w:hAnsi="David" w:cs="David"/>
        </w:rPr>
      </w:pPr>
      <w:r w:rsidRPr="00995C37">
        <w:rPr>
          <w:rFonts w:ascii="David" w:hAnsi="David" w:cs="David" w:hint="cs"/>
          <w:rtl/>
        </w:rPr>
        <w:t>פרסום</w:t>
      </w:r>
      <w:r w:rsidRPr="00995C37">
        <w:rPr>
          <w:rFonts w:ascii="David" w:hAnsi="David" w:cs="David"/>
          <w:rtl/>
        </w:rPr>
        <w:t xml:space="preserve"> בדבר עיצומים כספיים, סעיף 14יג – נקבעו הוראות לעניין פרסום עיצומים כספיים ותוכן הפרסום</w:t>
      </w:r>
      <w:r w:rsidR="00200828">
        <w:rPr>
          <w:rFonts w:ascii="David" w:hAnsi="David" w:cs="David" w:hint="cs"/>
          <w:rtl/>
        </w:rPr>
        <w:t>, בהתאם לנוסחים המעודכנים בחקיקה לעניין עיצומים כספיים</w:t>
      </w:r>
      <w:r w:rsidRPr="00995C37">
        <w:rPr>
          <w:rFonts w:ascii="David" w:hAnsi="David" w:cs="David"/>
          <w:rtl/>
        </w:rPr>
        <w:t>.</w:t>
      </w:r>
    </w:p>
    <w:p w14:paraId="4D3E5EAD" w14:textId="0ECAE470" w:rsidR="002379C8" w:rsidRDefault="002379C8" w:rsidP="002379C8">
      <w:pPr>
        <w:pStyle w:val="ListParagraph"/>
        <w:numPr>
          <w:ilvl w:val="1"/>
          <w:numId w:val="1"/>
        </w:numPr>
        <w:spacing w:line="360" w:lineRule="auto"/>
        <w:jc w:val="both"/>
        <w:rPr>
          <w:rFonts w:ascii="David" w:hAnsi="David" w:cs="David"/>
        </w:rPr>
      </w:pPr>
      <w:r>
        <w:rPr>
          <w:rFonts w:ascii="David" w:hAnsi="David" w:cs="David" w:hint="cs"/>
          <w:rtl/>
        </w:rPr>
        <w:t>עיצום כספי בשל הפרה לפי חוק זה ולפי חוק אחר, סעיף 14טז</w:t>
      </w:r>
      <w:r w:rsidR="00844939">
        <w:rPr>
          <w:rFonts w:ascii="David" w:hAnsi="David" w:cs="David" w:hint="cs"/>
          <w:rtl/>
        </w:rPr>
        <w:t xml:space="preserve"> </w:t>
      </w:r>
      <w:r>
        <w:rPr>
          <w:rFonts w:ascii="David" w:hAnsi="David" w:cs="David"/>
          <w:rtl/>
        </w:rPr>
        <w:t>–</w:t>
      </w:r>
      <w:r>
        <w:rPr>
          <w:rFonts w:ascii="David" w:hAnsi="David" w:cs="David" w:hint="cs"/>
          <w:rtl/>
        </w:rPr>
        <w:t xml:space="preserve"> </w:t>
      </w:r>
      <w:r w:rsidR="00844939">
        <w:rPr>
          <w:rFonts w:ascii="David" w:hAnsi="David" w:cs="David" w:hint="cs"/>
          <w:rtl/>
        </w:rPr>
        <w:t xml:space="preserve">בהתאם לנוסחים המעודכנים בחקיקה לעניין עיצומים כספיים, </w:t>
      </w:r>
      <w:r>
        <w:rPr>
          <w:rFonts w:ascii="David" w:hAnsi="David" w:cs="David" w:hint="cs"/>
          <w:rtl/>
        </w:rPr>
        <w:t>נקבע כי על מעשה אחד המהווה כמה הפרות של הוראות לפי חוק זה, המנויות בסעיף 14ה, או לפי חוק אחר, לא יוטל יותר מעיצום כספי אחד.</w:t>
      </w:r>
    </w:p>
    <w:p w14:paraId="4EAC90DD" w14:textId="5F8C3AC5" w:rsidR="002379C8" w:rsidRDefault="00FE5E73" w:rsidP="00DF4453">
      <w:pPr>
        <w:pStyle w:val="ListParagraph"/>
        <w:numPr>
          <w:ilvl w:val="1"/>
          <w:numId w:val="1"/>
        </w:numPr>
        <w:spacing w:line="360" w:lineRule="auto"/>
        <w:jc w:val="both"/>
        <w:rPr>
          <w:rFonts w:ascii="David" w:hAnsi="David" w:cs="David"/>
        </w:rPr>
      </w:pPr>
      <w:r>
        <w:rPr>
          <w:rFonts w:ascii="David" w:hAnsi="David" w:cs="David" w:hint="cs"/>
          <w:rtl/>
        </w:rPr>
        <w:lastRenderedPageBreak/>
        <w:t xml:space="preserve">עונשין, סעיף 15 </w:t>
      </w:r>
      <w:r>
        <w:rPr>
          <w:rFonts w:ascii="David" w:hAnsi="David" w:cs="David"/>
          <w:rtl/>
        </w:rPr>
        <w:t>–</w:t>
      </w:r>
      <w:r>
        <w:rPr>
          <w:rFonts w:ascii="David" w:hAnsi="David" w:cs="David" w:hint="cs"/>
          <w:rtl/>
        </w:rPr>
        <w:t xml:space="preserve"> </w:t>
      </w:r>
    </w:p>
    <w:p w14:paraId="375EA336" w14:textId="5EBFDC67" w:rsidR="003371E4" w:rsidRDefault="003371E4" w:rsidP="00FE5E73">
      <w:pPr>
        <w:pStyle w:val="ListParagraph"/>
        <w:numPr>
          <w:ilvl w:val="2"/>
          <w:numId w:val="1"/>
        </w:numPr>
        <w:spacing w:line="360" w:lineRule="auto"/>
        <w:jc w:val="both"/>
        <w:rPr>
          <w:rFonts w:ascii="David" w:hAnsi="David" w:cs="David"/>
        </w:rPr>
      </w:pPr>
      <w:r>
        <w:rPr>
          <w:rFonts w:ascii="David" w:hAnsi="David" w:cs="David" w:hint="cs"/>
          <w:rtl/>
        </w:rPr>
        <w:t xml:space="preserve">15(א)(1א) </w:t>
      </w:r>
      <w:r>
        <w:rPr>
          <w:rFonts w:ascii="David" w:hAnsi="David" w:cs="David"/>
          <w:rtl/>
        </w:rPr>
        <w:t>–</w:t>
      </w:r>
      <w:r>
        <w:rPr>
          <w:rFonts w:ascii="David" w:hAnsi="David" w:cs="David" w:hint="cs"/>
          <w:rtl/>
        </w:rPr>
        <w:t xml:space="preserve"> הוספת עבירה של עיסוק ברעל שלא בהתאם לדרישה שנקבעה בתקנות לפי סעיף 12, לעניין ניטור, דיגום, דיווח רישום ותיעוד ושמירתם של רישום ותיעוד כאמור, הכ</w:t>
      </w:r>
      <w:r w:rsidR="009755F2">
        <w:rPr>
          <w:rFonts w:ascii="David" w:hAnsi="David" w:cs="David" w:hint="cs"/>
          <w:rtl/>
        </w:rPr>
        <w:t>ו</w:t>
      </w:r>
      <w:r>
        <w:rPr>
          <w:rFonts w:ascii="David" w:hAnsi="David" w:cs="David" w:hint="cs"/>
          <w:rtl/>
        </w:rPr>
        <w:t>ל כמפורט באותו סעיף קטן.</w:t>
      </w:r>
    </w:p>
    <w:p w14:paraId="64654CC6" w14:textId="469822AE" w:rsidR="003371E4" w:rsidRDefault="003371E4" w:rsidP="00FE5E73">
      <w:pPr>
        <w:pStyle w:val="ListParagraph"/>
        <w:numPr>
          <w:ilvl w:val="2"/>
          <w:numId w:val="1"/>
        </w:numPr>
        <w:spacing w:line="360" w:lineRule="auto"/>
        <w:jc w:val="both"/>
        <w:rPr>
          <w:rFonts w:ascii="David" w:hAnsi="David" w:cs="David"/>
        </w:rPr>
      </w:pPr>
      <w:r>
        <w:rPr>
          <w:rFonts w:ascii="David" w:hAnsi="David" w:cs="David" w:hint="cs"/>
          <w:rtl/>
        </w:rPr>
        <w:t xml:space="preserve">15(א)(1ב) </w:t>
      </w:r>
      <w:r>
        <w:rPr>
          <w:rFonts w:ascii="David" w:hAnsi="David" w:cs="David"/>
          <w:rtl/>
        </w:rPr>
        <w:t>–</w:t>
      </w:r>
      <w:r>
        <w:rPr>
          <w:rFonts w:ascii="David" w:hAnsi="David" w:cs="David" w:hint="cs"/>
          <w:rtl/>
        </w:rPr>
        <w:t xml:space="preserve"> הוספת עבירה של פעולה בניגוד להוראות סעיף 6 שעניינו באריזה ואחסון רעלים, הכ</w:t>
      </w:r>
      <w:r w:rsidR="009755F2">
        <w:rPr>
          <w:rFonts w:ascii="David" w:hAnsi="David" w:cs="David" w:hint="cs"/>
          <w:rtl/>
        </w:rPr>
        <w:t>ו</w:t>
      </w:r>
      <w:r>
        <w:rPr>
          <w:rFonts w:ascii="David" w:hAnsi="David" w:cs="David" w:hint="cs"/>
          <w:rtl/>
        </w:rPr>
        <w:t xml:space="preserve">ל כמפורט באותו סעיף קטן. </w:t>
      </w:r>
    </w:p>
    <w:p w14:paraId="0AF5D4D4" w14:textId="5E3DA42F" w:rsidR="003371E4" w:rsidRDefault="003371E4" w:rsidP="00FE5E73">
      <w:pPr>
        <w:pStyle w:val="ListParagraph"/>
        <w:numPr>
          <w:ilvl w:val="2"/>
          <w:numId w:val="1"/>
        </w:numPr>
        <w:spacing w:line="360" w:lineRule="auto"/>
        <w:jc w:val="both"/>
        <w:rPr>
          <w:rFonts w:ascii="David" w:hAnsi="David" w:cs="David"/>
        </w:rPr>
      </w:pPr>
      <w:r>
        <w:rPr>
          <w:rFonts w:ascii="David" w:hAnsi="David" w:cs="David" w:hint="cs"/>
          <w:rtl/>
        </w:rPr>
        <w:t xml:space="preserve">15(א)(1ד) </w:t>
      </w:r>
      <w:r>
        <w:rPr>
          <w:rFonts w:ascii="David" w:hAnsi="David" w:cs="David"/>
          <w:rtl/>
        </w:rPr>
        <w:t>–</w:t>
      </w:r>
      <w:r>
        <w:rPr>
          <w:rFonts w:ascii="David" w:hAnsi="David" w:cs="David" w:hint="cs"/>
          <w:rtl/>
        </w:rPr>
        <w:t xml:space="preserve"> הוספת עבירה של עיסוק ברעל בניגוד לתקנות שנקבעו לפי סעיף 10(3) או 12, הכ</w:t>
      </w:r>
      <w:r w:rsidR="009755F2">
        <w:rPr>
          <w:rFonts w:ascii="David" w:hAnsi="David" w:cs="David" w:hint="cs"/>
          <w:rtl/>
        </w:rPr>
        <w:t>ו</w:t>
      </w:r>
      <w:r>
        <w:rPr>
          <w:rFonts w:ascii="David" w:hAnsi="David" w:cs="David" w:hint="cs"/>
          <w:rtl/>
        </w:rPr>
        <w:t>ל כמפורט באותו סעיף קטן.</w:t>
      </w:r>
    </w:p>
    <w:p w14:paraId="4F40CAEF" w14:textId="7DD0995B" w:rsidR="003371E4" w:rsidRDefault="003371E4" w:rsidP="00FE5E73">
      <w:pPr>
        <w:pStyle w:val="ListParagraph"/>
        <w:numPr>
          <w:ilvl w:val="2"/>
          <w:numId w:val="1"/>
        </w:numPr>
        <w:spacing w:line="360" w:lineRule="auto"/>
        <w:jc w:val="both"/>
        <w:rPr>
          <w:rFonts w:ascii="David" w:hAnsi="David" w:cs="David"/>
        </w:rPr>
      </w:pPr>
      <w:r>
        <w:rPr>
          <w:rFonts w:ascii="David" w:hAnsi="David" w:cs="David" w:hint="cs"/>
          <w:rtl/>
        </w:rPr>
        <w:t>15(א1),15(א2)(2),15(א2)(3)</w:t>
      </w:r>
      <w:r w:rsidR="009755F2">
        <w:rPr>
          <w:rFonts w:ascii="David" w:hAnsi="David" w:cs="David" w:hint="cs"/>
          <w:rtl/>
        </w:rPr>
        <w:t xml:space="preserve"> </w:t>
      </w:r>
      <w:r>
        <w:rPr>
          <w:rFonts w:ascii="David" w:hAnsi="David" w:cs="David"/>
          <w:rtl/>
        </w:rPr>
        <w:t>–</w:t>
      </w:r>
      <w:r>
        <w:rPr>
          <w:rFonts w:ascii="David" w:hAnsi="David" w:cs="David" w:hint="cs"/>
          <w:rtl/>
        </w:rPr>
        <w:t xml:space="preserve"> הוספת אפשרות לקביעת ענישה חמורה  בגין הפרה של חובות מסוימות שייקבעו בתקנות לפי סעיפים 10(3) ו</w:t>
      </w:r>
      <w:r w:rsidR="006719FD">
        <w:rPr>
          <w:rFonts w:ascii="David" w:hAnsi="David" w:cs="David" w:hint="cs"/>
          <w:rtl/>
        </w:rPr>
        <w:t>-</w:t>
      </w:r>
      <w:r>
        <w:rPr>
          <w:rFonts w:ascii="David" w:hAnsi="David" w:cs="David" w:hint="cs"/>
          <w:rtl/>
        </w:rPr>
        <w:t xml:space="preserve"> 12, בעניין אחסון רעלים ועיסוק ברעלים, הכ</w:t>
      </w:r>
      <w:r w:rsidR="009755F2">
        <w:rPr>
          <w:rFonts w:ascii="David" w:hAnsi="David" w:cs="David" w:hint="cs"/>
          <w:rtl/>
        </w:rPr>
        <w:t>ו</w:t>
      </w:r>
      <w:r>
        <w:rPr>
          <w:rFonts w:ascii="David" w:hAnsi="David" w:cs="David" w:hint="cs"/>
          <w:rtl/>
        </w:rPr>
        <w:t>ל כמפורט באותם סעיפים קטנים.</w:t>
      </w:r>
    </w:p>
    <w:p w14:paraId="3EC99D4E" w14:textId="53CEA1EC" w:rsidR="00252E6C" w:rsidRDefault="00252E6C" w:rsidP="00252E6C">
      <w:pPr>
        <w:pStyle w:val="ListParagraph"/>
        <w:numPr>
          <w:ilvl w:val="1"/>
          <w:numId w:val="1"/>
        </w:numPr>
        <w:spacing w:line="360" w:lineRule="auto"/>
        <w:jc w:val="both"/>
        <w:rPr>
          <w:rFonts w:ascii="David" w:hAnsi="David" w:cs="David"/>
        </w:rPr>
      </w:pPr>
      <w:r>
        <w:rPr>
          <w:rFonts w:ascii="David" w:hAnsi="David" w:cs="David" w:hint="cs"/>
          <w:rtl/>
        </w:rPr>
        <w:t xml:space="preserve">סייג לתחולה על עובדים, סעיף 16ד1 </w:t>
      </w:r>
      <w:r>
        <w:rPr>
          <w:rFonts w:ascii="David" w:hAnsi="David" w:cs="David"/>
          <w:rtl/>
        </w:rPr>
        <w:t>–</w:t>
      </w:r>
      <w:r>
        <w:rPr>
          <w:rFonts w:ascii="David" w:hAnsi="David" w:cs="David" w:hint="cs"/>
          <w:rtl/>
        </w:rPr>
        <w:t xml:space="preserve"> </w:t>
      </w:r>
      <w:r w:rsidR="006719FD">
        <w:rPr>
          <w:rFonts w:ascii="David" w:hAnsi="David" w:cs="David" w:hint="cs"/>
          <w:rtl/>
        </w:rPr>
        <w:t xml:space="preserve">הובהר </w:t>
      </w:r>
      <w:r>
        <w:rPr>
          <w:rFonts w:ascii="David" w:hAnsi="David" w:cs="David" w:hint="cs"/>
          <w:rtl/>
        </w:rPr>
        <w:t>כי הוראות החוק לא יחולו על חשיפה של עובד לחומרים מסוכנים במקום עבודתו, מקום שנקבעו לענ</w:t>
      </w:r>
      <w:r w:rsidR="009755F2">
        <w:rPr>
          <w:rFonts w:ascii="David" w:hAnsi="David" w:cs="David" w:hint="cs"/>
          <w:rtl/>
        </w:rPr>
        <w:t>י</w:t>
      </w:r>
      <w:r>
        <w:rPr>
          <w:rFonts w:ascii="David" w:hAnsi="David" w:cs="David" w:hint="cs"/>
          <w:rtl/>
        </w:rPr>
        <w:t>ין זה הוראות לפי פקודת הבטיחות בעבודה [נוסח חדש], התש"ל</w:t>
      </w:r>
      <w:r w:rsidR="009755F2">
        <w:rPr>
          <w:rFonts w:ascii="David" w:hAnsi="David" w:cs="David" w:hint="cs"/>
          <w:rtl/>
        </w:rPr>
        <w:t>-</w:t>
      </w:r>
      <w:r>
        <w:rPr>
          <w:rFonts w:ascii="David" w:hAnsi="David" w:cs="David" w:hint="cs"/>
          <w:rtl/>
        </w:rPr>
        <w:t xml:space="preserve">1970. </w:t>
      </w:r>
    </w:p>
    <w:p w14:paraId="63346923" w14:textId="77777777" w:rsidR="00EA6435" w:rsidRDefault="00EA6435" w:rsidP="00EA6435">
      <w:pPr>
        <w:pStyle w:val="ListParagraph"/>
        <w:spacing w:line="360" w:lineRule="auto"/>
        <w:ind w:left="1440"/>
        <w:jc w:val="both"/>
        <w:rPr>
          <w:rFonts w:ascii="David" w:hAnsi="David" w:cs="David"/>
        </w:rPr>
      </w:pPr>
    </w:p>
    <w:p w14:paraId="6CABE58A" w14:textId="3926BB8B" w:rsidR="00252E6C" w:rsidRPr="009755F2" w:rsidRDefault="00252E6C" w:rsidP="00EB7D4A">
      <w:pPr>
        <w:pStyle w:val="ListParagraph"/>
        <w:numPr>
          <w:ilvl w:val="0"/>
          <w:numId w:val="2"/>
        </w:numPr>
        <w:spacing w:line="360" w:lineRule="auto"/>
        <w:jc w:val="both"/>
        <w:rPr>
          <w:rFonts w:ascii="David" w:hAnsi="David" w:cs="David"/>
          <w:b/>
          <w:bCs/>
          <w:rtl/>
        </w:rPr>
      </w:pPr>
      <w:r w:rsidRPr="009755F2">
        <w:rPr>
          <w:rFonts w:ascii="David" w:hAnsi="David" w:cs="David" w:hint="cs"/>
          <w:b/>
          <w:bCs/>
          <w:rtl/>
        </w:rPr>
        <w:t>פרסום</w:t>
      </w:r>
      <w:r w:rsidRPr="009755F2">
        <w:rPr>
          <w:rFonts w:ascii="David" w:hAnsi="David" w:cs="David"/>
          <w:b/>
          <w:bCs/>
          <w:rtl/>
        </w:rPr>
        <w:t xml:space="preserve"> </w:t>
      </w:r>
      <w:r w:rsidRPr="009755F2">
        <w:rPr>
          <w:rFonts w:ascii="David" w:hAnsi="David" w:cs="David" w:hint="cs"/>
          <w:b/>
          <w:bCs/>
          <w:rtl/>
        </w:rPr>
        <w:t>הוראות</w:t>
      </w:r>
      <w:r w:rsidRPr="009755F2">
        <w:rPr>
          <w:rFonts w:ascii="David" w:hAnsi="David" w:cs="David"/>
          <w:b/>
          <w:bCs/>
          <w:rtl/>
        </w:rPr>
        <w:t xml:space="preserve"> </w:t>
      </w:r>
      <w:r w:rsidRPr="009755F2">
        <w:rPr>
          <w:rFonts w:ascii="David" w:hAnsi="David" w:cs="David" w:hint="cs"/>
          <w:b/>
          <w:bCs/>
          <w:rtl/>
        </w:rPr>
        <w:t>ות</w:t>
      </w:r>
      <w:r w:rsidR="009755F2" w:rsidRPr="009755F2">
        <w:rPr>
          <w:rFonts w:ascii="David" w:hAnsi="David" w:cs="David" w:hint="cs"/>
          <w:b/>
          <w:bCs/>
          <w:rtl/>
        </w:rPr>
        <w:t>ו</w:t>
      </w:r>
      <w:r w:rsidRPr="009755F2">
        <w:rPr>
          <w:rFonts w:ascii="David" w:hAnsi="David" w:cs="David" w:hint="cs"/>
          <w:b/>
          <w:bCs/>
          <w:rtl/>
        </w:rPr>
        <w:t>כנית</w:t>
      </w:r>
      <w:r w:rsidRPr="009755F2">
        <w:rPr>
          <w:rFonts w:ascii="David" w:hAnsi="David" w:cs="David"/>
          <w:b/>
          <w:bCs/>
          <w:rtl/>
        </w:rPr>
        <w:t xml:space="preserve"> </w:t>
      </w:r>
      <w:r w:rsidRPr="009755F2">
        <w:rPr>
          <w:rFonts w:ascii="David" w:hAnsi="David" w:cs="David" w:hint="cs"/>
          <w:b/>
          <w:bCs/>
          <w:rtl/>
        </w:rPr>
        <w:t>פיקוח</w:t>
      </w:r>
      <w:r w:rsidRPr="009755F2">
        <w:rPr>
          <w:rFonts w:ascii="David" w:hAnsi="David" w:cs="David"/>
          <w:b/>
          <w:bCs/>
          <w:rtl/>
        </w:rPr>
        <w:t xml:space="preserve"> </w:t>
      </w:r>
      <w:r w:rsidRPr="009755F2">
        <w:rPr>
          <w:rFonts w:ascii="David" w:hAnsi="David" w:cs="David" w:hint="cs"/>
          <w:b/>
          <w:bCs/>
          <w:rtl/>
        </w:rPr>
        <w:t>ראשונות</w:t>
      </w:r>
    </w:p>
    <w:p w14:paraId="614C96A9" w14:textId="481E28D1" w:rsidR="00252E6C" w:rsidRDefault="00252E6C" w:rsidP="00031659">
      <w:pPr>
        <w:pStyle w:val="ListParagraph"/>
        <w:numPr>
          <w:ilvl w:val="0"/>
          <w:numId w:val="1"/>
        </w:numPr>
        <w:spacing w:line="360" w:lineRule="auto"/>
        <w:jc w:val="both"/>
        <w:rPr>
          <w:rFonts w:ascii="David" w:hAnsi="David" w:cs="David"/>
        </w:rPr>
      </w:pPr>
      <w:r>
        <w:rPr>
          <w:rFonts w:ascii="David" w:hAnsi="David" w:cs="David" w:hint="cs"/>
          <w:rtl/>
        </w:rPr>
        <w:t xml:space="preserve">סעיף 16א(א) </w:t>
      </w:r>
      <w:r w:rsidR="009755F2">
        <w:rPr>
          <w:rFonts w:ascii="David" w:hAnsi="David" w:cs="David" w:hint="cs"/>
          <w:rtl/>
        </w:rPr>
        <w:t>ב</w:t>
      </w:r>
      <w:r>
        <w:rPr>
          <w:rFonts w:ascii="David" w:hAnsi="David" w:cs="David" w:hint="cs"/>
          <w:rtl/>
        </w:rPr>
        <w:t>חוק אוויר נקי ו</w:t>
      </w:r>
      <w:r w:rsidR="00346C78">
        <w:rPr>
          <w:rFonts w:ascii="David" w:hAnsi="David" w:cs="David" w:hint="cs"/>
          <w:rtl/>
        </w:rPr>
        <w:t>סעיף</w:t>
      </w:r>
      <w:r>
        <w:rPr>
          <w:rFonts w:ascii="David" w:hAnsi="David" w:cs="David" w:hint="cs"/>
          <w:rtl/>
        </w:rPr>
        <w:t xml:space="preserve"> 13א(א) </w:t>
      </w:r>
      <w:r w:rsidR="009755F2">
        <w:rPr>
          <w:rFonts w:ascii="David" w:hAnsi="David" w:cs="David" w:hint="cs"/>
          <w:rtl/>
        </w:rPr>
        <w:t>ב</w:t>
      </w:r>
      <w:r>
        <w:rPr>
          <w:rFonts w:ascii="David" w:hAnsi="David" w:cs="David" w:hint="cs"/>
          <w:rtl/>
        </w:rPr>
        <w:t>חוק החומרים המסוכנים קובעים כי החל מהיום הקובע</w:t>
      </w:r>
      <w:r w:rsidR="00A93A10">
        <w:rPr>
          <w:rFonts w:ascii="David" w:hAnsi="David" w:cs="David" w:hint="cs"/>
          <w:rtl/>
        </w:rPr>
        <w:t xml:space="preserve"> (1.1.2027)</w:t>
      </w:r>
      <w:r>
        <w:rPr>
          <w:rFonts w:ascii="David" w:hAnsi="David" w:cs="David" w:hint="cs"/>
          <w:rtl/>
        </w:rPr>
        <w:t>, סמכויות לפי אותם החיקוקים יופעלו על בסיס גישה סביבתית משולבת ובהתאם לאסדרה האירופית. בהמשך לכך</w:t>
      </w:r>
      <w:r w:rsidR="00C73601">
        <w:rPr>
          <w:rFonts w:ascii="David" w:hAnsi="David" w:cs="David" w:hint="cs"/>
          <w:rtl/>
        </w:rPr>
        <w:t xml:space="preserve">, בסעיף 16א(ב) </w:t>
      </w:r>
      <w:r w:rsidR="009755F2">
        <w:rPr>
          <w:rFonts w:ascii="David" w:hAnsi="David" w:cs="David" w:hint="cs"/>
          <w:rtl/>
        </w:rPr>
        <w:t>ב</w:t>
      </w:r>
      <w:r w:rsidR="00C73601">
        <w:rPr>
          <w:rFonts w:ascii="David" w:hAnsi="David" w:cs="David" w:hint="cs"/>
          <w:rtl/>
        </w:rPr>
        <w:t xml:space="preserve">חוק אוויר נקי ובסעיף 13א(ב) </w:t>
      </w:r>
      <w:r w:rsidR="009755F2">
        <w:rPr>
          <w:rFonts w:ascii="David" w:hAnsi="David" w:cs="David" w:hint="cs"/>
          <w:rtl/>
        </w:rPr>
        <w:t>ב</w:t>
      </w:r>
      <w:r w:rsidR="00C73601">
        <w:rPr>
          <w:rFonts w:ascii="David" w:hAnsi="David" w:cs="David" w:hint="cs"/>
          <w:rtl/>
        </w:rPr>
        <w:t>חוק החומרים המסוכנים</w:t>
      </w:r>
      <w:r>
        <w:rPr>
          <w:rFonts w:ascii="David" w:hAnsi="David" w:cs="David" w:hint="cs"/>
          <w:rtl/>
        </w:rPr>
        <w:t xml:space="preserve"> נקבע כי המנהל יפרסם הוראות לעניין האסדרה האירופית שיש להתבסס עליה. </w:t>
      </w:r>
      <w:r w:rsidR="00981786">
        <w:rPr>
          <w:rFonts w:ascii="David" w:hAnsi="David" w:cs="David" w:hint="cs"/>
          <w:rtl/>
        </w:rPr>
        <w:t xml:space="preserve">סעיף 7(א) </w:t>
      </w:r>
      <w:r w:rsidR="009755F2">
        <w:rPr>
          <w:rFonts w:ascii="David" w:hAnsi="David" w:cs="David" w:hint="cs"/>
          <w:rtl/>
        </w:rPr>
        <w:t>ב</w:t>
      </w:r>
      <w:r w:rsidR="00981786" w:rsidRPr="00FA3624">
        <w:rPr>
          <w:rFonts w:ascii="David" w:hAnsi="David" w:cs="David" w:hint="cs"/>
          <w:rtl/>
        </w:rPr>
        <w:t>חוק ייעול הליכי רישוי סביבתי</w:t>
      </w:r>
      <w:r w:rsidR="00981786">
        <w:rPr>
          <w:rFonts w:ascii="David" w:hAnsi="David" w:cs="David" w:hint="cs"/>
          <w:rtl/>
        </w:rPr>
        <w:t xml:space="preserve"> קובע כי ההוראות </w:t>
      </w:r>
      <w:r w:rsidR="00DB0074">
        <w:rPr>
          <w:rFonts w:ascii="David" w:hAnsi="David" w:cs="David" w:hint="cs"/>
          <w:rtl/>
        </w:rPr>
        <w:t xml:space="preserve">יפורסמו </w:t>
      </w:r>
      <w:r w:rsidR="00981786">
        <w:rPr>
          <w:rFonts w:ascii="David" w:hAnsi="David" w:cs="David" w:hint="cs"/>
          <w:rtl/>
        </w:rPr>
        <w:t>עד ליום 31.12.2025.</w:t>
      </w:r>
    </w:p>
    <w:p w14:paraId="1C984A77" w14:textId="63B32609" w:rsidR="00252E6C" w:rsidRPr="00252E6C" w:rsidRDefault="00C73601" w:rsidP="00EA6435">
      <w:pPr>
        <w:pStyle w:val="ListParagraph"/>
        <w:numPr>
          <w:ilvl w:val="0"/>
          <w:numId w:val="1"/>
        </w:numPr>
        <w:spacing w:line="360" w:lineRule="auto"/>
        <w:jc w:val="both"/>
        <w:rPr>
          <w:rFonts w:ascii="David" w:hAnsi="David" w:cs="David"/>
          <w:rtl/>
        </w:rPr>
      </w:pPr>
      <w:r>
        <w:rPr>
          <w:rFonts w:ascii="David" w:hAnsi="David" w:cs="David" w:hint="cs"/>
          <w:rtl/>
        </w:rPr>
        <w:t xml:space="preserve">עוד נקבע בסעיף 7(ב) </w:t>
      </w:r>
      <w:r w:rsidR="009755F2">
        <w:rPr>
          <w:rFonts w:ascii="David" w:hAnsi="David" w:cs="David" w:hint="cs"/>
          <w:rtl/>
        </w:rPr>
        <w:t>ב</w:t>
      </w:r>
      <w:r w:rsidR="00031659">
        <w:rPr>
          <w:rFonts w:ascii="David" w:hAnsi="David" w:cs="David" w:hint="cs"/>
          <w:rtl/>
        </w:rPr>
        <w:t>חוק</w:t>
      </w:r>
      <w:r>
        <w:rPr>
          <w:rFonts w:ascii="David" w:hAnsi="David" w:cs="David" w:hint="cs"/>
          <w:rtl/>
        </w:rPr>
        <w:t xml:space="preserve">, כי עד ליום הקובע יפורסמו תוכניות פיקוח ראשונות לפי סעיף 16ד </w:t>
      </w:r>
      <w:r w:rsidR="009755F2">
        <w:rPr>
          <w:rFonts w:ascii="David" w:hAnsi="David" w:cs="David" w:hint="cs"/>
          <w:rtl/>
        </w:rPr>
        <w:t>ב</w:t>
      </w:r>
      <w:r>
        <w:rPr>
          <w:rFonts w:ascii="David" w:hAnsi="David" w:cs="David" w:hint="cs"/>
          <w:rtl/>
        </w:rPr>
        <w:t xml:space="preserve">חוק אוויר נקי ולפי סעיף 6ד </w:t>
      </w:r>
      <w:r w:rsidR="009755F2">
        <w:rPr>
          <w:rFonts w:ascii="David" w:hAnsi="David" w:cs="David" w:hint="cs"/>
          <w:rtl/>
        </w:rPr>
        <w:t>ב</w:t>
      </w:r>
      <w:r>
        <w:rPr>
          <w:rFonts w:ascii="David" w:hAnsi="David" w:cs="David" w:hint="cs"/>
          <w:rtl/>
        </w:rPr>
        <w:t xml:space="preserve">חוק החומרים המסוכנים.  </w:t>
      </w:r>
      <w:r w:rsidR="00252E6C">
        <w:rPr>
          <w:rFonts w:ascii="David" w:hAnsi="David" w:cs="David" w:hint="cs"/>
          <w:rtl/>
        </w:rPr>
        <w:t xml:space="preserve"> </w:t>
      </w:r>
    </w:p>
    <w:p w14:paraId="5D3A3FFE" w14:textId="77777777" w:rsidR="00CC6B83" w:rsidRDefault="00CC6B83" w:rsidP="00E23A7E">
      <w:pPr>
        <w:spacing w:line="360" w:lineRule="auto"/>
        <w:jc w:val="both"/>
        <w:rPr>
          <w:rFonts w:ascii="David" w:hAnsi="David" w:cs="David"/>
          <w:sz w:val="24"/>
          <w:szCs w:val="24"/>
          <w:rtl/>
        </w:rPr>
      </w:pPr>
    </w:p>
    <w:p w14:paraId="43BF4349" w14:textId="0F78E34A" w:rsidR="00031659" w:rsidRPr="009755F2" w:rsidRDefault="002069BF" w:rsidP="00EA6435">
      <w:pPr>
        <w:pStyle w:val="ListParagraph"/>
        <w:numPr>
          <w:ilvl w:val="0"/>
          <w:numId w:val="2"/>
        </w:numPr>
        <w:spacing w:line="360" w:lineRule="auto"/>
        <w:jc w:val="both"/>
        <w:rPr>
          <w:rFonts w:ascii="David" w:hAnsi="David" w:cs="David"/>
          <w:b/>
          <w:bCs/>
          <w:rtl/>
        </w:rPr>
      </w:pPr>
      <w:r w:rsidRPr="009755F2">
        <w:rPr>
          <w:rFonts w:ascii="David" w:hAnsi="David" w:cs="David" w:hint="cs"/>
          <w:b/>
          <w:bCs/>
          <w:rtl/>
        </w:rPr>
        <w:t>הוראות מעבר</w:t>
      </w:r>
      <w:r w:rsidR="008009EB" w:rsidRPr="009755F2">
        <w:rPr>
          <w:rFonts w:ascii="David" w:hAnsi="David" w:cs="David" w:hint="cs"/>
          <w:b/>
          <w:bCs/>
          <w:rtl/>
        </w:rPr>
        <w:t xml:space="preserve"> </w:t>
      </w:r>
      <w:r w:rsidR="00031659" w:rsidRPr="009755F2">
        <w:rPr>
          <w:rFonts w:ascii="David" w:hAnsi="David" w:cs="David" w:hint="cs"/>
          <w:b/>
          <w:bCs/>
          <w:rtl/>
        </w:rPr>
        <w:t xml:space="preserve">בחוק אוויר נקי </w:t>
      </w:r>
    </w:p>
    <w:p w14:paraId="1438C30A" w14:textId="70D2B1B6" w:rsidR="0095033B" w:rsidRDefault="00CC6B83" w:rsidP="00031659">
      <w:pPr>
        <w:pStyle w:val="ListParagraph"/>
        <w:numPr>
          <w:ilvl w:val="0"/>
          <w:numId w:val="1"/>
        </w:numPr>
        <w:spacing w:line="360" w:lineRule="auto"/>
        <w:jc w:val="both"/>
        <w:rPr>
          <w:rFonts w:ascii="David" w:hAnsi="David" w:cs="David"/>
        </w:rPr>
      </w:pPr>
      <w:r>
        <w:rPr>
          <w:rFonts w:ascii="David" w:hAnsi="David" w:cs="David" w:hint="cs"/>
          <w:rtl/>
        </w:rPr>
        <w:t xml:space="preserve">סעיף 99 </w:t>
      </w:r>
      <w:r w:rsidR="009755F2">
        <w:rPr>
          <w:rFonts w:ascii="David" w:hAnsi="David" w:cs="David" w:hint="cs"/>
          <w:rtl/>
        </w:rPr>
        <w:t>ב</w:t>
      </w:r>
      <w:r>
        <w:rPr>
          <w:rFonts w:ascii="David" w:hAnsi="David" w:cs="David" w:hint="cs"/>
          <w:rtl/>
        </w:rPr>
        <w:t>חוק אוויר נקי</w:t>
      </w:r>
      <w:r w:rsidR="0040437F">
        <w:rPr>
          <w:rFonts w:ascii="David" w:hAnsi="David" w:cs="David" w:hint="cs"/>
          <w:rtl/>
        </w:rPr>
        <w:t xml:space="preserve"> קובע את הוראות המעבר לענ</w:t>
      </w:r>
      <w:r w:rsidR="005A2E29">
        <w:rPr>
          <w:rFonts w:ascii="David" w:hAnsi="David" w:cs="David" w:hint="cs"/>
          <w:rtl/>
        </w:rPr>
        <w:t>י</w:t>
      </w:r>
      <w:r w:rsidR="0040437F">
        <w:rPr>
          <w:rFonts w:ascii="David" w:hAnsi="David" w:cs="David" w:hint="cs"/>
          <w:rtl/>
        </w:rPr>
        <w:t>ין בעל מקור פליטה טעון היתר</w:t>
      </w:r>
      <w:r w:rsidR="00031659">
        <w:rPr>
          <w:rFonts w:ascii="David" w:hAnsi="David" w:cs="David" w:hint="cs"/>
          <w:rtl/>
        </w:rPr>
        <w:t>,</w:t>
      </w:r>
      <w:r w:rsidR="0040437F">
        <w:rPr>
          <w:rFonts w:ascii="David" w:hAnsi="David" w:cs="David" w:hint="cs"/>
          <w:rtl/>
        </w:rPr>
        <w:t xml:space="preserve"> שהוא מפעל קיים המחזיק היתר פליטה</w:t>
      </w:r>
      <w:r w:rsidR="00031659">
        <w:rPr>
          <w:rFonts w:ascii="David" w:hAnsi="David" w:cs="David" w:hint="cs"/>
          <w:rtl/>
        </w:rPr>
        <w:t xml:space="preserve"> תקף</w:t>
      </w:r>
      <w:r w:rsidR="0040437F">
        <w:rPr>
          <w:rFonts w:ascii="David" w:hAnsi="David" w:cs="David" w:hint="cs"/>
          <w:rtl/>
        </w:rPr>
        <w:t xml:space="preserve"> ערב יום התחילה</w:t>
      </w:r>
      <w:r w:rsidR="0095033B">
        <w:rPr>
          <w:rFonts w:ascii="David" w:hAnsi="David" w:cs="David" w:hint="cs"/>
          <w:rtl/>
        </w:rPr>
        <w:t>:</w:t>
      </w:r>
      <w:r w:rsidR="005A2E29">
        <w:rPr>
          <w:rFonts w:ascii="David" w:hAnsi="David" w:cs="David" w:hint="cs"/>
          <w:rtl/>
        </w:rPr>
        <w:t xml:space="preserve"> </w:t>
      </w:r>
    </w:p>
    <w:p w14:paraId="5DF880D8" w14:textId="5DF87D24" w:rsidR="0095033B" w:rsidRDefault="005A2E29" w:rsidP="00031659">
      <w:pPr>
        <w:pStyle w:val="ListParagraph"/>
        <w:numPr>
          <w:ilvl w:val="1"/>
          <w:numId w:val="1"/>
        </w:numPr>
        <w:spacing w:line="360" w:lineRule="auto"/>
        <w:jc w:val="both"/>
        <w:rPr>
          <w:rFonts w:ascii="David" w:hAnsi="David" w:cs="David"/>
        </w:rPr>
      </w:pPr>
      <w:r w:rsidRPr="009755F2">
        <w:rPr>
          <w:rFonts w:ascii="David" w:hAnsi="David" w:cs="David" w:hint="cs"/>
          <w:b/>
          <w:bCs/>
          <w:rtl/>
        </w:rPr>
        <w:t>היתרי פליטה יעמדו בתוקפם</w:t>
      </w:r>
      <w:r w:rsidR="0095033B" w:rsidRPr="0095033B">
        <w:rPr>
          <w:rFonts w:ascii="David" w:hAnsi="David" w:cs="David" w:hint="cs"/>
          <w:rtl/>
        </w:rPr>
        <w:t>, ולא יידרשו בחידוש לאחר 7 שנים, וזאת</w:t>
      </w:r>
      <w:r w:rsidRPr="0095033B">
        <w:rPr>
          <w:rFonts w:ascii="David" w:hAnsi="David" w:cs="David" w:hint="cs"/>
          <w:rtl/>
        </w:rPr>
        <w:t xml:space="preserve"> </w:t>
      </w:r>
      <w:r w:rsidRPr="009755F2">
        <w:rPr>
          <w:rFonts w:ascii="David" w:hAnsi="David" w:cs="David" w:hint="cs"/>
          <w:b/>
          <w:bCs/>
          <w:rtl/>
        </w:rPr>
        <w:t>עד למועד מתן החלטה בבקשה לחידוש</w:t>
      </w:r>
      <w:r w:rsidR="0095033B">
        <w:rPr>
          <w:rFonts w:ascii="David" w:hAnsi="David" w:cs="David" w:hint="cs"/>
          <w:rtl/>
        </w:rPr>
        <w:t xml:space="preserve"> שתוגש במועד המחייב לפי החוק</w:t>
      </w:r>
      <w:r w:rsidR="00031659">
        <w:rPr>
          <w:rFonts w:ascii="David" w:hAnsi="David" w:cs="David" w:hint="cs"/>
          <w:rtl/>
        </w:rPr>
        <w:t>, כפוף להתקיימות התנאים המפורטים</w:t>
      </w:r>
      <w:r w:rsidR="0095033B">
        <w:rPr>
          <w:rFonts w:ascii="David" w:hAnsi="David" w:cs="David" w:hint="cs"/>
          <w:rtl/>
        </w:rPr>
        <w:t>.</w:t>
      </w:r>
      <w:r w:rsidR="0095033B" w:rsidRPr="0095033B">
        <w:rPr>
          <w:rFonts w:ascii="David" w:hAnsi="David" w:cs="David" w:hint="cs"/>
          <w:rtl/>
        </w:rPr>
        <w:t xml:space="preserve"> </w:t>
      </w:r>
    </w:p>
    <w:p w14:paraId="08D38C67" w14:textId="77777777" w:rsidR="0095033B" w:rsidRDefault="0095033B" w:rsidP="00031659">
      <w:pPr>
        <w:pStyle w:val="ListParagraph"/>
        <w:numPr>
          <w:ilvl w:val="1"/>
          <w:numId w:val="1"/>
        </w:numPr>
        <w:spacing w:line="360" w:lineRule="auto"/>
        <w:jc w:val="both"/>
        <w:rPr>
          <w:rFonts w:ascii="David" w:hAnsi="David" w:cs="David"/>
        </w:rPr>
      </w:pPr>
      <w:r w:rsidRPr="009755F2">
        <w:rPr>
          <w:rFonts w:ascii="David" w:hAnsi="David" w:cs="David" w:hint="cs"/>
          <w:b/>
          <w:bCs/>
          <w:rtl/>
        </w:rPr>
        <w:t>המועד המחייב לפי החוק יהיה המוקדם מבין הבאים</w:t>
      </w:r>
      <w:r>
        <w:rPr>
          <w:rFonts w:ascii="David" w:hAnsi="David" w:cs="David" w:hint="cs"/>
          <w:rtl/>
        </w:rPr>
        <w:t xml:space="preserve">: </w:t>
      </w:r>
    </w:p>
    <w:p w14:paraId="241CACFD" w14:textId="3D55399A" w:rsidR="0095033B" w:rsidRDefault="0095033B" w:rsidP="00031659">
      <w:pPr>
        <w:pStyle w:val="ListParagraph"/>
        <w:numPr>
          <w:ilvl w:val="2"/>
          <w:numId w:val="1"/>
        </w:numPr>
        <w:spacing w:line="360" w:lineRule="auto"/>
        <w:jc w:val="both"/>
        <w:rPr>
          <w:rFonts w:ascii="David" w:hAnsi="David" w:cs="David"/>
        </w:rPr>
      </w:pPr>
      <w:r w:rsidRPr="0095033B">
        <w:rPr>
          <w:rFonts w:ascii="David" w:hAnsi="David" w:cs="David" w:hint="cs"/>
          <w:rtl/>
        </w:rPr>
        <w:t xml:space="preserve">המועד הקבוע </w:t>
      </w:r>
      <w:r>
        <w:rPr>
          <w:rFonts w:ascii="David" w:hAnsi="David" w:cs="David" w:hint="cs"/>
          <w:rtl/>
        </w:rPr>
        <w:t xml:space="preserve">בסעיף </w:t>
      </w:r>
      <w:r w:rsidR="005A2E29" w:rsidRPr="0095033B">
        <w:rPr>
          <w:rFonts w:ascii="David" w:hAnsi="David" w:cs="David" w:hint="cs"/>
          <w:rtl/>
        </w:rPr>
        <w:t>99(ב)</w:t>
      </w:r>
      <w:r>
        <w:rPr>
          <w:rFonts w:ascii="David" w:hAnsi="David" w:cs="David" w:hint="cs"/>
          <w:rtl/>
        </w:rPr>
        <w:t>, בהתאם ל</w:t>
      </w:r>
      <w:r w:rsidR="00031659">
        <w:rPr>
          <w:rFonts w:ascii="David" w:hAnsi="David" w:cs="David" w:hint="cs"/>
          <w:rtl/>
        </w:rPr>
        <w:t>סוגי ה</w:t>
      </w:r>
      <w:r>
        <w:rPr>
          <w:rFonts w:ascii="David" w:hAnsi="David" w:cs="David" w:hint="cs"/>
          <w:rtl/>
        </w:rPr>
        <w:t>פעילויות או המתקנים במקור הפליטה;</w:t>
      </w:r>
    </w:p>
    <w:p w14:paraId="23E0D1A3" w14:textId="5A98A9FD" w:rsidR="0095033B" w:rsidRDefault="0095033B" w:rsidP="00031659">
      <w:pPr>
        <w:pStyle w:val="ListParagraph"/>
        <w:numPr>
          <w:ilvl w:val="2"/>
          <w:numId w:val="1"/>
        </w:numPr>
        <w:spacing w:line="360" w:lineRule="auto"/>
        <w:jc w:val="both"/>
        <w:rPr>
          <w:rFonts w:ascii="David" w:hAnsi="David" w:cs="David"/>
        </w:rPr>
      </w:pPr>
      <w:r>
        <w:rPr>
          <w:rFonts w:ascii="David" w:hAnsi="David" w:cs="David" w:hint="cs"/>
          <w:rtl/>
        </w:rPr>
        <w:t>תשע שנים מ</w:t>
      </w:r>
      <w:r w:rsidR="005A2E29" w:rsidRPr="0095033B">
        <w:rPr>
          <w:rFonts w:ascii="David" w:hAnsi="David" w:cs="David" w:hint="cs"/>
          <w:rtl/>
        </w:rPr>
        <w:t>תחילת תוקפו של היתר הפליטה הקיים</w:t>
      </w:r>
      <w:r>
        <w:rPr>
          <w:rFonts w:ascii="David" w:hAnsi="David" w:cs="David" w:hint="cs"/>
          <w:rtl/>
        </w:rPr>
        <w:t>;</w:t>
      </w:r>
    </w:p>
    <w:p w14:paraId="759199A4" w14:textId="0D05180F" w:rsidR="0095033B" w:rsidRDefault="0095033B" w:rsidP="00031659">
      <w:pPr>
        <w:pStyle w:val="ListParagraph"/>
        <w:numPr>
          <w:ilvl w:val="2"/>
          <w:numId w:val="1"/>
        </w:numPr>
        <w:spacing w:line="360" w:lineRule="auto"/>
        <w:jc w:val="both"/>
        <w:rPr>
          <w:rFonts w:ascii="David" w:hAnsi="David" w:cs="David"/>
        </w:rPr>
      </w:pPr>
      <w:r>
        <w:rPr>
          <w:rFonts w:ascii="David" w:hAnsi="David" w:cs="David" w:hint="cs"/>
          <w:rtl/>
        </w:rPr>
        <w:t xml:space="preserve">במקרים </w:t>
      </w:r>
      <w:r w:rsidR="009760BA">
        <w:rPr>
          <w:rFonts w:ascii="David" w:hAnsi="David" w:cs="David" w:hint="cs"/>
          <w:rtl/>
        </w:rPr>
        <w:t>ש</w:t>
      </w:r>
      <w:r>
        <w:rPr>
          <w:rFonts w:ascii="David" w:hAnsi="David" w:cs="David" w:hint="cs"/>
          <w:rtl/>
        </w:rPr>
        <w:t xml:space="preserve">בהם במפעל קיים ישנן כמה פעילויות או כמה מתקנים, מועד הגשת בקשת החידוש </w:t>
      </w:r>
      <w:r w:rsidR="00031659">
        <w:rPr>
          <w:rFonts w:ascii="David" w:hAnsi="David" w:cs="David" w:hint="cs"/>
          <w:rtl/>
        </w:rPr>
        <w:t xml:space="preserve">הוא המועד </w:t>
      </w:r>
      <w:r>
        <w:rPr>
          <w:rFonts w:ascii="David" w:hAnsi="David" w:cs="David" w:hint="cs"/>
          <w:rtl/>
        </w:rPr>
        <w:t xml:space="preserve">המוקדם מבין המועדים הקבועים </w:t>
      </w:r>
      <w:r>
        <w:rPr>
          <w:rFonts w:ascii="David" w:hAnsi="David" w:cs="David" w:hint="cs"/>
          <w:rtl/>
        </w:rPr>
        <w:lastRenderedPageBreak/>
        <w:t>עבור הפעילויות או המתקנים השונים בסעיף 99(ב). עם זאת, לבקשת</w:t>
      </w:r>
      <w:r w:rsidR="002D1634">
        <w:rPr>
          <w:rFonts w:ascii="David" w:hAnsi="David" w:cs="David" w:hint="cs"/>
          <w:rtl/>
        </w:rPr>
        <w:t xml:space="preserve"> </w:t>
      </w:r>
      <w:r>
        <w:rPr>
          <w:rFonts w:ascii="David" w:hAnsi="David" w:cs="David" w:hint="cs"/>
          <w:rtl/>
        </w:rPr>
        <w:t>בעל מקור הפליטה יוכל הממונה לקבוע אחרת;</w:t>
      </w:r>
    </w:p>
    <w:p w14:paraId="5A0C4229" w14:textId="1778A8C1" w:rsidR="005A2E29" w:rsidRPr="002D1634" w:rsidRDefault="0095033B" w:rsidP="005019C5">
      <w:pPr>
        <w:pStyle w:val="ListParagraph"/>
        <w:numPr>
          <w:ilvl w:val="1"/>
          <w:numId w:val="1"/>
        </w:numPr>
        <w:spacing w:line="360" w:lineRule="auto"/>
        <w:jc w:val="both"/>
        <w:rPr>
          <w:rFonts w:ascii="David" w:hAnsi="David" w:cs="David"/>
        </w:rPr>
      </w:pPr>
      <w:r w:rsidRPr="002D1634">
        <w:rPr>
          <w:rFonts w:ascii="David" w:hAnsi="David" w:cs="David" w:hint="cs"/>
          <w:rtl/>
        </w:rPr>
        <w:t>אם</w:t>
      </w:r>
      <w:r w:rsidR="005A2E29" w:rsidRPr="002D1634">
        <w:rPr>
          <w:rFonts w:ascii="David" w:hAnsi="David" w:cs="David" w:hint="cs"/>
          <w:rtl/>
        </w:rPr>
        <w:t xml:space="preserve"> המועד הקבוע בסעיף 99(ב) חל בטרם חלפו שש שנים מיום שקיבל את היתר הפליטה הקיים שבידו, יהיה רשאי בעל מקור הפליטה להגיש את הבקשה לחידוש ההיתר </w:t>
      </w:r>
      <w:r w:rsidR="00A4521A" w:rsidRPr="002D1634">
        <w:rPr>
          <w:rFonts w:ascii="David" w:hAnsi="David" w:cs="David" w:hint="cs"/>
          <w:rtl/>
        </w:rPr>
        <w:t xml:space="preserve">לפחות שנה ולא מוקדם מ-18 חודשים לפני תום תוקף ההיתר הקיים שבידו. </w:t>
      </w:r>
    </w:p>
    <w:p w14:paraId="70ABC2F2" w14:textId="43F65C59" w:rsidR="005A2E29" w:rsidRDefault="00D0551C" w:rsidP="006D5694">
      <w:pPr>
        <w:pStyle w:val="ListParagraph"/>
        <w:numPr>
          <w:ilvl w:val="0"/>
          <w:numId w:val="1"/>
        </w:numPr>
        <w:spacing w:line="360" w:lineRule="auto"/>
        <w:jc w:val="both"/>
        <w:rPr>
          <w:rFonts w:ascii="David" w:hAnsi="David" w:cs="David"/>
        </w:rPr>
      </w:pPr>
      <w:r>
        <w:rPr>
          <w:rFonts w:ascii="David" w:hAnsi="David" w:cs="David" w:hint="cs"/>
          <w:rtl/>
        </w:rPr>
        <w:t xml:space="preserve">בהתאם לסעיף 100, על </w:t>
      </w:r>
      <w:r w:rsidRPr="009760BA">
        <w:rPr>
          <w:rFonts w:ascii="David" w:hAnsi="David" w:cs="David" w:hint="cs"/>
          <w:b/>
          <w:bCs/>
          <w:rtl/>
        </w:rPr>
        <w:t>בקשה</w:t>
      </w:r>
      <w:r w:rsidRPr="009760BA">
        <w:rPr>
          <w:rFonts w:ascii="David" w:hAnsi="David" w:cs="David"/>
          <w:b/>
          <w:bCs/>
          <w:rtl/>
        </w:rPr>
        <w:t xml:space="preserve"> </w:t>
      </w:r>
      <w:r w:rsidRPr="009760BA">
        <w:rPr>
          <w:rFonts w:ascii="David" w:hAnsi="David" w:cs="David" w:hint="cs"/>
          <w:b/>
          <w:bCs/>
          <w:rtl/>
        </w:rPr>
        <w:t>להיתר</w:t>
      </w:r>
      <w:r w:rsidRPr="009760BA">
        <w:rPr>
          <w:rFonts w:ascii="David" w:hAnsi="David" w:cs="David"/>
          <w:b/>
          <w:bCs/>
          <w:rtl/>
        </w:rPr>
        <w:t xml:space="preserve"> </w:t>
      </w:r>
      <w:r w:rsidRPr="009760BA">
        <w:rPr>
          <w:rFonts w:ascii="David" w:hAnsi="David" w:cs="David" w:hint="cs"/>
          <w:b/>
          <w:bCs/>
          <w:rtl/>
        </w:rPr>
        <w:t>פליטה חדש</w:t>
      </w:r>
      <w:r>
        <w:rPr>
          <w:rFonts w:ascii="David" w:hAnsi="David" w:cs="David" w:hint="cs"/>
          <w:rtl/>
        </w:rPr>
        <w:t xml:space="preserve"> שהוגשה </w:t>
      </w:r>
      <w:r w:rsidR="005019C5">
        <w:rPr>
          <w:rFonts w:ascii="David" w:hAnsi="David" w:cs="David" w:hint="cs"/>
          <w:rtl/>
        </w:rPr>
        <w:t>עד ליום 1.1.2027</w:t>
      </w:r>
      <w:r>
        <w:rPr>
          <w:rFonts w:ascii="David" w:hAnsi="David" w:cs="David" w:hint="cs"/>
          <w:rtl/>
        </w:rPr>
        <w:t xml:space="preserve">, ועל </w:t>
      </w:r>
      <w:r w:rsidRPr="009760BA">
        <w:rPr>
          <w:rFonts w:ascii="David" w:hAnsi="David" w:cs="David" w:hint="cs"/>
          <w:b/>
          <w:bCs/>
          <w:rtl/>
        </w:rPr>
        <w:t>בקשה</w:t>
      </w:r>
      <w:r w:rsidRPr="009760BA">
        <w:rPr>
          <w:rFonts w:ascii="David" w:hAnsi="David" w:cs="David"/>
          <w:b/>
          <w:bCs/>
          <w:rtl/>
        </w:rPr>
        <w:t xml:space="preserve"> </w:t>
      </w:r>
      <w:r w:rsidRPr="009760BA">
        <w:rPr>
          <w:rFonts w:ascii="David" w:hAnsi="David" w:cs="David" w:hint="cs"/>
          <w:b/>
          <w:bCs/>
          <w:rtl/>
        </w:rPr>
        <w:t>לחידוש</w:t>
      </w:r>
      <w:r w:rsidRPr="009760BA">
        <w:rPr>
          <w:rFonts w:ascii="David" w:hAnsi="David" w:cs="David"/>
          <w:b/>
          <w:bCs/>
          <w:rtl/>
        </w:rPr>
        <w:t xml:space="preserve"> </w:t>
      </w:r>
      <w:r w:rsidRPr="009760BA">
        <w:rPr>
          <w:rFonts w:ascii="David" w:hAnsi="David" w:cs="David" w:hint="cs"/>
          <w:b/>
          <w:bCs/>
          <w:rtl/>
        </w:rPr>
        <w:t>היתר</w:t>
      </w:r>
      <w:r>
        <w:rPr>
          <w:rFonts w:ascii="David" w:hAnsi="David" w:cs="David" w:hint="cs"/>
          <w:rtl/>
        </w:rPr>
        <w:t xml:space="preserve"> שהוגשה </w:t>
      </w:r>
      <w:r w:rsidR="005019C5">
        <w:rPr>
          <w:rFonts w:ascii="David" w:hAnsi="David" w:cs="David" w:hint="cs"/>
          <w:rtl/>
        </w:rPr>
        <w:t>עד ליום 1.9.2024</w:t>
      </w:r>
      <w:r>
        <w:rPr>
          <w:rFonts w:ascii="David" w:hAnsi="David" w:cs="David" w:hint="cs"/>
          <w:rtl/>
        </w:rPr>
        <w:t>, יחולו הוראות הדין הישן. על היתרי פליטה שיינתנו במקרים אלה, יחולו הוראות הדין החדש</w:t>
      </w:r>
      <w:r w:rsidR="00087435">
        <w:rPr>
          <w:rFonts w:ascii="David" w:hAnsi="David" w:cs="David" w:hint="cs"/>
          <w:rtl/>
        </w:rPr>
        <w:t xml:space="preserve"> </w:t>
      </w:r>
      <w:r>
        <w:rPr>
          <w:rFonts w:ascii="David" w:hAnsi="David" w:cs="David" w:hint="cs"/>
          <w:rtl/>
        </w:rPr>
        <w:t>כאילו היו מפעלים קיימים</w:t>
      </w:r>
      <w:r w:rsidR="00087435">
        <w:rPr>
          <w:rFonts w:ascii="David" w:hAnsi="David" w:cs="David" w:hint="cs"/>
          <w:rtl/>
        </w:rPr>
        <w:t xml:space="preserve"> כהגדרתם בחוק</w:t>
      </w:r>
      <w:r>
        <w:rPr>
          <w:rFonts w:ascii="David" w:hAnsi="David" w:cs="David" w:hint="cs"/>
          <w:rtl/>
        </w:rPr>
        <w:t xml:space="preserve">. </w:t>
      </w:r>
    </w:p>
    <w:p w14:paraId="17A2E613" w14:textId="2775C1B7" w:rsidR="00D0551C" w:rsidRDefault="00E94D57" w:rsidP="006D5694">
      <w:pPr>
        <w:pStyle w:val="ListParagraph"/>
        <w:numPr>
          <w:ilvl w:val="0"/>
          <w:numId w:val="1"/>
        </w:numPr>
        <w:spacing w:line="360" w:lineRule="auto"/>
        <w:jc w:val="both"/>
        <w:rPr>
          <w:rFonts w:ascii="David" w:hAnsi="David" w:cs="David"/>
        </w:rPr>
      </w:pPr>
      <w:r>
        <w:rPr>
          <w:rFonts w:ascii="David" w:hAnsi="David" w:cs="David" w:hint="cs"/>
          <w:rtl/>
        </w:rPr>
        <w:t xml:space="preserve">סעיף 101 קובע את </w:t>
      </w:r>
      <w:r w:rsidRPr="009760BA">
        <w:rPr>
          <w:rFonts w:ascii="David" w:hAnsi="David" w:cs="David" w:hint="cs"/>
          <w:b/>
          <w:bCs/>
          <w:rtl/>
        </w:rPr>
        <w:t>תחולת הדין החדש על מפעלים קיימים</w:t>
      </w:r>
      <w:r>
        <w:rPr>
          <w:rFonts w:ascii="David" w:hAnsi="David" w:cs="David" w:hint="cs"/>
          <w:rtl/>
        </w:rPr>
        <w:t>:</w:t>
      </w:r>
    </w:p>
    <w:p w14:paraId="57F14D6F" w14:textId="35B397E5" w:rsidR="00E94D57" w:rsidRDefault="00E94D57" w:rsidP="006D5694">
      <w:pPr>
        <w:pStyle w:val="ListParagraph"/>
        <w:numPr>
          <w:ilvl w:val="1"/>
          <w:numId w:val="1"/>
        </w:numPr>
        <w:spacing w:line="360" w:lineRule="auto"/>
        <w:jc w:val="both"/>
        <w:rPr>
          <w:rFonts w:ascii="David" w:hAnsi="David" w:cs="David"/>
        </w:rPr>
      </w:pPr>
      <w:r>
        <w:rPr>
          <w:rFonts w:ascii="David" w:hAnsi="David" w:cs="David" w:hint="cs"/>
          <w:rtl/>
        </w:rPr>
        <w:t xml:space="preserve">לעניין מפעל שאינו טעון היתר פליטה אחוד </w:t>
      </w:r>
      <w:r>
        <w:rPr>
          <w:rFonts w:ascii="David" w:hAnsi="David" w:cs="David"/>
          <w:rtl/>
        </w:rPr>
        <w:t>–</w:t>
      </w:r>
      <w:r>
        <w:rPr>
          <w:rFonts w:ascii="David" w:hAnsi="David" w:cs="David" w:hint="cs"/>
          <w:rtl/>
        </w:rPr>
        <w:t xml:space="preserve"> יחול הדין החדש מהיום הקובע. </w:t>
      </w:r>
    </w:p>
    <w:p w14:paraId="665CA393" w14:textId="0AEEBB86" w:rsidR="00E94D57" w:rsidRDefault="00E94D57" w:rsidP="006D5694">
      <w:pPr>
        <w:pStyle w:val="ListParagraph"/>
        <w:numPr>
          <w:ilvl w:val="1"/>
          <w:numId w:val="1"/>
        </w:numPr>
        <w:spacing w:line="360" w:lineRule="auto"/>
        <w:jc w:val="both"/>
        <w:rPr>
          <w:rFonts w:ascii="David" w:hAnsi="David" w:cs="David"/>
        </w:rPr>
      </w:pPr>
      <w:r>
        <w:rPr>
          <w:rFonts w:ascii="David" w:hAnsi="David" w:cs="David" w:hint="cs"/>
          <w:rtl/>
        </w:rPr>
        <w:t>לעניין מפעל קיי</w:t>
      </w:r>
      <w:r w:rsidR="001A3794">
        <w:rPr>
          <w:rFonts w:ascii="David" w:hAnsi="David" w:cs="David" w:hint="cs"/>
          <w:rtl/>
        </w:rPr>
        <w:t>ם</w:t>
      </w:r>
      <w:r>
        <w:rPr>
          <w:rFonts w:ascii="David" w:hAnsi="David" w:cs="David" w:hint="cs"/>
          <w:rtl/>
        </w:rPr>
        <w:t xml:space="preserve"> טעון היתר פליטה אחוד </w:t>
      </w:r>
      <w:r>
        <w:rPr>
          <w:rFonts w:ascii="David" w:hAnsi="David" w:cs="David"/>
          <w:rtl/>
        </w:rPr>
        <w:t>–</w:t>
      </w:r>
      <w:r>
        <w:rPr>
          <w:rFonts w:ascii="David" w:hAnsi="David" w:cs="David" w:hint="cs"/>
          <w:rtl/>
        </w:rPr>
        <w:t xml:space="preserve"> החל מהיום הקובע ועד תום תקופת הארכת תוקף ההיתר, לפי הוראות סעיף 99, ייראו את היתר הפליטה הק</w:t>
      </w:r>
      <w:r w:rsidR="00126026">
        <w:rPr>
          <w:rFonts w:ascii="David" w:hAnsi="David" w:cs="David" w:hint="cs"/>
          <w:rtl/>
        </w:rPr>
        <w:t>י</w:t>
      </w:r>
      <w:r>
        <w:rPr>
          <w:rFonts w:ascii="David" w:hAnsi="David" w:cs="David" w:hint="cs"/>
          <w:rtl/>
        </w:rPr>
        <w:t>ים יחד עם היתר הרעלים והתנאים שניתנו ברישיון העסק על ידי נותן האישור במשרד, כהיתר פליטה אחוד ויחולו לגביו הוראות הדין החדש. עם זאת, בתקופה האמורה, יהיה רשאי הממונה לשנות תנאים בהיתר בהתאם לסמכויותיו לפי הדין הישן (סעיפים 26(א) ו</w:t>
      </w:r>
      <w:r w:rsidR="006D5694">
        <w:rPr>
          <w:rFonts w:ascii="David" w:hAnsi="David" w:cs="David" w:hint="cs"/>
          <w:rtl/>
        </w:rPr>
        <w:t>-</w:t>
      </w:r>
      <w:r>
        <w:rPr>
          <w:rFonts w:ascii="David" w:hAnsi="David" w:cs="David" w:hint="cs"/>
          <w:rtl/>
        </w:rPr>
        <w:t xml:space="preserve">26(ב)). </w:t>
      </w:r>
    </w:p>
    <w:p w14:paraId="58377BE9" w14:textId="039CBB21" w:rsidR="00531731" w:rsidRDefault="00F66F8F" w:rsidP="006D5694">
      <w:pPr>
        <w:pStyle w:val="ListParagraph"/>
        <w:numPr>
          <w:ilvl w:val="0"/>
          <w:numId w:val="1"/>
        </w:numPr>
        <w:spacing w:line="360" w:lineRule="auto"/>
        <w:jc w:val="both"/>
        <w:rPr>
          <w:rFonts w:ascii="David" w:hAnsi="David" w:cs="David"/>
        </w:rPr>
      </w:pPr>
      <w:r w:rsidRPr="009760BA">
        <w:rPr>
          <w:rFonts w:ascii="David" w:hAnsi="David" w:cs="David" w:hint="cs"/>
          <w:b/>
          <w:bCs/>
          <w:rtl/>
        </w:rPr>
        <w:t>מתקני סילוק או טיפול בפסולת לא מסוכנת ומטמנות</w:t>
      </w:r>
      <w:r w:rsidR="00276241" w:rsidRPr="009760BA">
        <w:rPr>
          <w:rFonts w:ascii="David" w:hAnsi="David" w:cs="David" w:hint="cs"/>
          <w:b/>
          <w:bCs/>
          <w:rtl/>
        </w:rPr>
        <w:t>, למעט מטמנות לפסולת אינרטית</w:t>
      </w:r>
      <w:r w:rsidRPr="009760BA">
        <w:rPr>
          <w:rFonts w:ascii="David" w:hAnsi="David" w:cs="David" w:hint="cs"/>
          <w:b/>
          <w:bCs/>
          <w:rtl/>
        </w:rPr>
        <w:t xml:space="preserve"> </w:t>
      </w:r>
      <w:r>
        <w:rPr>
          <w:rFonts w:ascii="David" w:hAnsi="David" w:cs="David" w:hint="cs"/>
          <w:rtl/>
        </w:rPr>
        <w:t>(פרטים 5.3 ו</w:t>
      </w:r>
      <w:r w:rsidR="006D5694">
        <w:rPr>
          <w:rFonts w:ascii="David" w:hAnsi="David" w:cs="David" w:hint="cs"/>
          <w:rtl/>
        </w:rPr>
        <w:t>-</w:t>
      </w:r>
      <w:r>
        <w:rPr>
          <w:rFonts w:ascii="David" w:hAnsi="David" w:cs="David" w:hint="cs"/>
          <w:rtl/>
        </w:rPr>
        <w:t xml:space="preserve"> 5.4 לתוספת השלישית)</w:t>
      </w:r>
      <w:r w:rsidR="009760BA">
        <w:rPr>
          <w:rFonts w:ascii="David" w:hAnsi="David" w:cs="David" w:hint="cs"/>
          <w:rtl/>
        </w:rPr>
        <w:t xml:space="preserve"> </w:t>
      </w:r>
      <w:r>
        <w:rPr>
          <w:rFonts w:ascii="David" w:hAnsi="David" w:cs="David"/>
          <w:rtl/>
        </w:rPr>
        <w:t>–</w:t>
      </w:r>
      <w:r>
        <w:rPr>
          <w:rFonts w:ascii="David" w:hAnsi="David" w:cs="David" w:hint="cs"/>
          <w:rtl/>
        </w:rPr>
        <w:t xml:space="preserve"> </w:t>
      </w:r>
    </w:p>
    <w:p w14:paraId="32031ED8" w14:textId="77777777" w:rsidR="00531731" w:rsidRDefault="00F66F8F" w:rsidP="006D5694">
      <w:pPr>
        <w:pStyle w:val="ListParagraph"/>
        <w:numPr>
          <w:ilvl w:val="1"/>
          <w:numId w:val="1"/>
        </w:numPr>
        <w:spacing w:line="360" w:lineRule="auto"/>
        <w:jc w:val="both"/>
        <w:rPr>
          <w:rFonts w:ascii="David" w:hAnsi="David" w:cs="David"/>
        </w:rPr>
      </w:pPr>
      <w:r>
        <w:rPr>
          <w:rFonts w:ascii="David" w:hAnsi="David" w:cs="David" w:hint="cs"/>
          <w:rtl/>
        </w:rPr>
        <w:t xml:space="preserve">מתקנים אלה אינם טעונים היתר פליטה לפי הדין הישן, אך טעונים היתר פליטה לפי הדין החדש. מי שהפעיל עסקים כאמור כדין בהתאם לתנאים שנתן נותן האישור במשרד ברישיון העסק ערב יום התחילה, רשאי להמשיך ולהפעיל את מקורות הפליטה עד להחלטת הממונה בבקשה להיתר פליטה. </w:t>
      </w:r>
    </w:p>
    <w:p w14:paraId="20D6B7C2" w14:textId="58E0BF49" w:rsidR="00531731" w:rsidRDefault="00F66F8F" w:rsidP="006D5694">
      <w:pPr>
        <w:pStyle w:val="ListParagraph"/>
        <w:numPr>
          <w:ilvl w:val="1"/>
          <w:numId w:val="1"/>
        </w:numPr>
        <w:spacing w:line="360" w:lineRule="auto"/>
        <w:jc w:val="both"/>
        <w:rPr>
          <w:rFonts w:ascii="David" w:hAnsi="David" w:cs="David"/>
        </w:rPr>
      </w:pPr>
      <w:r>
        <w:rPr>
          <w:rFonts w:ascii="David" w:hAnsi="David" w:cs="David" w:hint="cs"/>
          <w:rtl/>
        </w:rPr>
        <w:t>אם נדרש חידוש רישיון העסק בתקופה שעד קבלת ההחלטה כאמור, ייראו בתנאים שניתנו כ</w:t>
      </w:r>
      <w:r w:rsidR="00531731">
        <w:rPr>
          <w:rFonts w:ascii="David" w:hAnsi="David" w:cs="David" w:hint="cs"/>
          <w:rtl/>
        </w:rPr>
        <w:t xml:space="preserve">אישור לעניין החידוש. </w:t>
      </w:r>
    </w:p>
    <w:p w14:paraId="29F19F88" w14:textId="0227F339" w:rsidR="00F66F8F" w:rsidRDefault="00531731" w:rsidP="006D5694">
      <w:pPr>
        <w:pStyle w:val="ListParagraph"/>
        <w:numPr>
          <w:ilvl w:val="1"/>
          <w:numId w:val="1"/>
        </w:numPr>
        <w:spacing w:line="360" w:lineRule="auto"/>
        <w:jc w:val="both"/>
        <w:rPr>
          <w:rFonts w:ascii="David" w:hAnsi="David" w:cs="David"/>
        </w:rPr>
      </w:pPr>
      <w:r>
        <w:rPr>
          <w:rFonts w:ascii="David" w:hAnsi="David" w:cs="David" w:hint="cs"/>
          <w:rtl/>
        </w:rPr>
        <w:t>את הבקשה להיתר פליטה עבור מתקני הפסולת כאמור, יגיש בעל מקור הפליטה במועדים הקבועים בסעיף קטן 102(א)</w:t>
      </w:r>
      <w:r w:rsidR="00B25661">
        <w:rPr>
          <w:rFonts w:ascii="David" w:hAnsi="David" w:cs="David" w:hint="cs"/>
          <w:rtl/>
        </w:rPr>
        <w:t>:</w:t>
      </w:r>
      <w:r>
        <w:rPr>
          <w:rFonts w:ascii="David" w:hAnsi="David" w:cs="David" w:hint="cs"/>
          <w:rtl/>
        </w:rPr>
        <w:t xml:space="preserve"> </w:t>
      </w:r>
      <w:r w:rsidR="008009EB">
        <w:rPr>
          <w:rFonts w:ascii="David" w:hAnsi="David" w:cs="David" w:hint="cs"/>
          <w:rtl/>
        </w:rPr>
        <w:t xml:space="preserve">5.3 </w:t>
      </w:r>
      <w:r w:rsidR="005C6C1B">
        <w:rPr>
          <w:rFonts w:ascii="David" w:hAnsi="David" w:cs="David" w:hint="cs"/>
          <w:rtl/>
        </w:rPr>
        <w:t xml:space="preserve">סילוק או טיפול בפסולת לא מסוכנת </w:t>
      </w:r>
      <w:r w:rsidR="008009EB">
        <w:rPr>
          <w:rFonts w:ascii="David" w:hAnsi="David" w:cs="David"/>
          <w:rtl/>
        </w:rPr>
        <w:t>–</w:t>
      </w:r>
      <w:r w:rsidR="008009EB">
        <w:rPr>
          <w:rFonts w:ascii="David" w:hAnsi="David" w:cs="David" w:hint="cs"/>
          <w:rtl/>
        </w:rPr>
        <w:t xml:space="preserve"> ינואר </w:t>
      </w:r>
      <w:r w:rsidR="00A41904">
        <w:rPr>
          <w:rFonts w:ascii="David" w:hAnsi="David" w:cs="David" w:hint="cs"/>
          <w:rtl/>
        </w:rPr>
        <w:t>2032</w:t>
      </w:r>
      <w:r w:rsidR="006D5694">
        <w:rPr>
          <w:rFonts w:ascii="David" w:hAnsi="David" w:cs="David" w:hint="cs"/>
          <w:rtl/>
        </w:rPr>
        <w:t>;</w:t>
      </w:r>
      <w:r w:rsidR="008009EB">
        <w:rPr>
          <w:rFonts w:ascii="David" w:hAnsi="David" w:cs="David" w:hint="cs"/>
          <w:rtl/>
        </w:rPr>
        <w:t xml:space="preserve"> 5.4 </w:t>
      </w:r>
      <w:r w:rsidR="005C6C1B">
        <w:rPr>
          <w:rFonts w:ascii="David" w:hAnsi="David" w:cs="David" w:hint="cs"/>
          <w:rtl/>
        </w:rPr>
        <w:t xml:space="preserve">תפעול מטמנה בקיבולת העולה על 10 </w:t>
      </w:r>
      <w:r w:rsidR="00CF4C39">
        <w:rPr>
          <w:rFonts w:ascii="David" w:hAnsi="David" w:cs="David" w:hint="cs"/>
          <w:rtl/>
        </w:rPr>
        <w:t>טונות</w:t>
      </w:r>
      <w:r w:rsidR="005C6C1B">
        <w:rPr>
          <w:rFonts w:ascii="David" w:hAnsi="David" w:cs="David" w:hint="cs"/>
          <w:rtl/>
        </w:rPr>
        <w:t xml:space="preserve"> ליום או בקיבולת </w:t>
      </w:r>
      <w:r w:rsidR="00A41904">
        <w:rPr>
          <w:rFonts w:ascii="David" w:hAnsi="David" w:cs="David" w:hint="cs"/>
          <w:rtl/>
        </w:rPr>
        <w:t xml:space="preserve">כללית העולה על 25,000 </w:t>
      </w:r>
      <w:r w:rsidR="00CF4C39">
        <w:rPr>
          <w:rFonts w:ascii="David" w:hAnsi="David" w:cs="David" w:hint="cs"/>
          <w:rtl/>
        </w:rPr>
        <w:t>טונות</w:t>
      </w:r>
      <w:r w:rsidR="00A41904">
        <w:rPr>
          <w:rFonts w:ascii="David" w:hAnsi="David" w:cs="David" w:hint="cs"/>
          <w:rtl/>
        </w:rPr>
        <w:t xml:space="preserve"> למעט מטמנה לפסולת אינרטית </w:t>
      </w:r>
      <w:r w:rsidR="008009EB">
        <w:rPr>
          <w:rFonts w:ascii="David" w:hAnsi="David" w:cs="David"/>
          <w:rtl/>
        </w:rPr>
        <w:t>–</w:t>
      </w:r>
      <w:r w:rsidR="008009EB">
        <w:rPr>
          <w:rFonts w:ascii="David" w:hAnsi="David" w:cs="David" w:hint="cs"/>
          <w:rtl/>
        </w:rPr>
        <w:t xml:space="preserve"> ינואר 2030.</w:t>
      </w:r>
    </w:p>
    <w:p w14:paraId="66251982" w14:textId="62070E9C" w:rsidR="00531731" w:rsidRDefault="00531731" w:rsidP="006D5694">
      <w:pPr>
        <w:pStyle w:val="ListParagraph"/>
        <w:numPr>
          <w:ilvl w:val="1"/>
          <w:numId w:val="1"/>
        </w:numPr>
        <w:spacing w:line="360" w:lineRule="auto"/>
        <w:jc w:val="both"/>
        <w:rPr>
          <w:rFonts w:ascii="David" w:hAnsi="David" w:cs="David"/>
        </w:rPr>
      </w:pPr>
      <w:r>
        <w:rPr>
          <w:rFonts w:ascii="David" w:hAnsi="David" w:cs="David" w:hint="cs"/>
          <w:rtl/>
        </w:rPr>
        <w:t>החל מהיום הקובע ועד מועד החלטת הממונה לעניין הבקשה להיתר הפליטה, יראו את האישור הקיים לפי חוק רישוי עסקים כהיתר פליטה אחוד ויחולו לגביו הוראות הדין החדש. עם זאת, בתקופה האמורה, יהיה רשאי הממונה לשנות תנאים באישור הקיים, בהתאם לסמכויותיו לפי הדין הישן (סעיפים 26(א) ו</w:t>
      </w:r>
      <w:r w:rsidR="006D5694">
        <w:rPr>
          <w:rFonts w:ascii="David" w:hAnsi="David" w:cs="David" w:hint="cs"/>
          <w:rtl/>
        </w:rPr>
        <w:t>-</w:t>
      </w:r>
      <w:r>
        <w:rPr>
          <w:rFonts w:ascii="David" w:hAnsi="David" w:cs="David" w:hint="cs"/>
          <w:rtl/>
        </w:rPr>
        <w:t xml:space="preserve">26(ב)). </w:t>
      </w:r>
    </w:p>
    <w:p w14:paraId="05634A43" w14:textId="5DFB994B" w:rsidR="00531731" w:rsidRDefault="00531731" w:rsidP="006D5694">
      <w:pPr>
        <w:pStyle w:val="ListParagraph"/>
        <w:numPr>
          <w:ilvl w:val="1"/>
          <w:numId w:val="1"/>
        </w:numPr>
        <w:spacing w:line="360" w:lineRule="auto"/>
        <w:jc w:val="both"/>
        <w:rPr>
          <w:rFonts w:ascii="David" w:hAnsi="David" w:cs="David"/>
        </w:rPr>
      </w:pPr>
      <w:r>
        <w:rPr>
          <w:rFonts w:ascii="David" w:hAnsi="David" w:cs="David" w:hint="cs"/>
          <w:rtl/>
        </w:rPr>
        <w:t>תקנות אוויר נקי (אגרות), התשע"א</w:t>
      </w:r>
      <w:r w:rsidR="00016C3E">
        <w:rPr>
          <w:rFonts w:ascii="David" w:hAnsi="David" w:cs="David" w:hint="cs"/>
          <w:rtl/>
        </w:rPr>
        <w:t>-</w:t>
      </w:r>
      <w:r>
        <w:rPr>
          <w:rFonts w:ascii="David" w:hAnsi="David" w:cs="David" w:hint="cs"/>
          <w:rtl/>
        </w:rPr>
        <w:t xml:space="preserve">2010 לא יחולו לעניין מתקנים אלה, כל עוד לא תוקנו. </w:t>
      </w:r>
    </w:p>
    <w:p w14:paraId="7FE5CA9E" w14:textId="0D198B4C" w:rsidR="00C87D2C" w:rsidRPr="00C87D2C" w:rsidRDefault="00AA721C" w:rsidP="00C87D2C">
      <w:pPr>
        <w:pStyle w:val="ListParagraph"/>
        <w:numPr>
          <w:ilvl w:val="0"/>
          <w:numId w:val="1"/>
        </w:numPr>
        <w:spacing w:line="360" w:lineRule="auto"/>
        <w:jc w:val="both"/>
        <w:rPr>
          <w:rFonts w:ascii="David" w:hAnsi="David" w:cs="David"/>
        </w:rPr>
      </w:pPr>
      <w:r w:rsidRPr="00016C3E">
        <w:rPr>
          <w:rFonts w:ascii="David" w:hAnsi="David" w:cs="David" w:hint="cs"/>
          <w:b/>
          <w:bCs/>
          <w:rtl/>
        </w:rPr>
        <w:t>הטכניקה המיטבית הזמינה</w:t>
      </w:r>
      <w:r w:rsidRPr="00C87D2C">
        <w:rPr>
          <w:rFonts w:ascii="David" w:hAnsi="David" w:cs="David" w:hint="cs"/>
          <w:rtl/>
        </w:rPr>
        <w:t xml:space="preserve"> </w:t>
      </w:r>
      <w:r w:rsidRPr="00C87D2C">
        <w:rPr>
          <w:rFonts w:ascii="David" w:hAnsi="David" w:cs="David"/>
          <w:rtl/>
        </w:rPr>
        <w:t>–</w:t>
      </w:r>
      <w:r w:rsidRPr="00C87D2C">
        <w:rPr>
          <w:rFonts w:ascii="David" w:hAnsi="David" w:cs="David" w:hint="cs"/>
          <w:rtl/>
        </w:rPr>
        <w:t xml:space="preserve"> בהתאם לסעיף </w:t>
      </w:r>
      <w:r w:rsidR="00517276" w:rsidRPr="00C87D2C">
        <w:rPr>
          <w:rFonts w:ascii="David" w:hAnsi="David" w:cs="David"/>
        </w:rPr>
        <w:t>103</w:t>
      </w:r>
      <w:r w:rsidRPr="00C87D2C">
        <w:rPr>
          <w:rFonts w:ascii="David" w:hAnsi="David" w:cs="David" w:hint="cs"/>
          <w:rtl/>
        </w:rPr>
        <w:t xml:space="preserve">(א), על </w:t>
      </w:r>
      <w:r w:rsidR="00C87D2C" w:rsidRPr="00C87D2C">
        <w:rPr>
          <w:rFonts w:ascii="David" w:hAnsi="David" w:cs="David" w:hint="cs"/>
          <w:rtl/>
        </w:rPr>
        <w:t xml:space="preserve">אף </w:t>
      </w:r>
      <w:r w:rsidRPr="00C87D2C">
        <w:rPr>
          <w:rFonts w:ascii="David" w:hAnsi="David" w:cs="David" w:hint="cs"/>
          <w:rtl/>
        </w:rPr>
        <w:t>האמור בתקנה 14(א) ו-(ב) לתקנות אוויר נקי (היתרי פליטה), תש"ע</w:t>
      </w:r>
      <w:r w:rsidR="00016C3E">
        <w:rPr>
          <w:rFonts w:ascii="David" w:hAnsi="David" w:cs="David" w:hint="cs"/>
          <w:rtl/>
        </w:rPr>
        <w:t>-</w:t>
      </w:r>
      <w:r w:rsidRPr="00C87D2C">
        <w:rPr>
          <w:rFonts w:ascii="David" w:hAnsi="David" w:cs="David" w:hint="cs"/>
          <w:rtl/>
        </w:rPr>
        <w:t xml:space="preserve">2010, כל עוד לא תוקנה התקנה האמורה, </w:t>
      </w:r>
      <w:r w:rsidRPr="00C87D2C">
        <w:rPr>
          <w:rFonts w:ascii="David" w:hAnsi="David" w:cs="David" w:hint="cs"/>
          <w:rtl/>
        </w:rPr>
        <w:lastRenderedPageBreak/>
        <w:t xml:space="preserve">הבקשה להיתר פליטה אחוד תכלול את הטכניקה המיטבית הזמינה המוצעת ליישום במקור הפליטה מבין כלל הטכניקות המיטביות הזמינות, </w:t>
      </w:r>
      <w:r w:rsidR="00C87D2C" w:rsidRPr="00C87D2C">
        <w:rPr>
          <w:rFonts w:ascii="David" w:hAnsi="David" w:cs="David" w:hint="cs"/>
          <w:rtl/>
        </w:rPr>
        <w:t>את השיקולים</w:t>
      </w:r>
      <w:r w:rsidR="00C87D2C" w:rsidRPr="00C87D2C">
        <w:rPr>
          <w:rFonts w:ascii="David" w:hAnsi="David" w:cs="David"/>
          <w:rtl/>
        </w:rPr>
        <w:t xml:space="preserve"> </w:t>
      </w:r>
      <w:r w:rsidR="00C87D2C" w:rsidRPr="00C87D2C">
        <w:rPr>
          <w:rFonts w:ascii="David" w:hAnsi="David" w:cs="David" w:hint="cs"/>
          <w:rtl/>
        </w:rPr>
        <w:t>לבחירתה</w:t>
      </w:r>
      <w:r w:rsidR="00C87D2C" w:rsidRPr="00C87D2C">
        <w:rPr>
          <w:rFonts w:ascii="David" w:hAnsi="David" w:cs="David"/>
          <w:rtl/>
        </w:rPr>
        <w:t xml:space="preserve"> </w:t>
      </w:r>
      <w:r w:rsidR="00C87D2C" w:rsidRPr="00C87D2C">
        <w:rPr>
          <w:rFonts w:ascii="David" w:hAnsi="David" w:cs="David" w:hint="cs"/>
          <w:rtl/>
        </w:rPr>
        <w:t>של</w:t>
      </w:r>
      <w:r w:rsidR="00C87D2C" w:rsidRPr="00C87D2C">
        <w:rPr>
          <w:rFonts w:ascii="David" w:hAnsi="David" w:cs="David"/>
          <w:rtl/>
        </w:rPr>
        <w:t xml:space="preserve"> </w:t>
      </w:r>
      <w:r w:rsidR="00C87D2C" w:rsidRPr="00C87D2C">
        <w:rPr>
          <w:rFonts w:ascii="David" w:hAnsi="David" w:cs="David" w:hint="cs"/>
          <w:rtl/>
        </w:rPr>
        <w:t>הטכניקה</w:t>
      </w:r>
      <w:r w:rsidR="00C87D2C" w:rsidRPr="00C87D2C">
        <w:rPr>
          <w:rFonts w:ascii="David" w:hAnsi="David" w:cs="David"/>
          <w:rtl/>
        </w:rPr>
        <w:t xml:space="preserve"> </w:t>
      </w:r>
      <w:r w:rsidR="00C87D2C" w:rsidRPr="00C87D2C">
        <w:rPr>
          <w:rFonts w:ascii="David" w:hAnsi="David" w:cs="David" w:hint="cs"/>
          <w:rtl/>
        </w:rPr>
        <w:t>המוצעת</w:t>
      </w:r>
      <w:r w:rsidR="00C87D2C" w:rsidRPr="00C87D2C">
        <w:rPr>
          <w:rFonts w:ascii="David" w:hAnsi="David" w:cs="David"/>
          <w:rtl/>
        </w:rPr>
        <w:t xml:space="preserve"> </w:t>
      </w:r>
      <w:r w:rsidR="00C87D2C" w:rsidRPr="00C87D2C">
        <w:rPr>
          <w:rFonts w:ascii="David" w:hAnsi="David" w:cs="David" w:hint="cs"/>
          <w:rtl/>
        </w:rPr>
        <w:t>וישימותה בנסיבות</w:t>
      </w:r>
      <w:r w:rsidR="00C87D2C" w:rsidRPr="00C87D2C">
        <w:rPr>
          <w:rFonts w:ascii="David" w:hAnsi="David" w:cs="David"/>
          <w:rtl/>
        </w:rPr>
        <w:t xml:space="preserve"> </w:t>
      </w:r>
      <w:r w:rsidR="00C87D2C" w:rsidRPr="00C87D2C">
        <w:rPr>
          <w:rFonts w:ascii="David" w:hAnsi="David" w:cs="David" w:hint="cs"/>
          <w:rtl/>
        </w:rPr>
        <w:t>העניין</w:t>
      </w:r>
      <w:r w:rsidR="00C87D2C" w:rsidRPr="00C87D2C">
        <w:rPr>
          <w:rFonts w:ascii="David" w:hAnsi="David" w:cs="David"/>
          <w:rtl/>
        </w:rPr>
        <w:t xml:space="preserve">, </w:t>
      </w:r>
      <w:r w:rsidR="00C87D2C" w:rsidRPr="00C87D2C">
        <w:rPr>
          <w:rFonts w:ascii="David" w:hAnsi="David" w:cs="David" w:hint="cs"/>
          <w:rtl/>
        </w:rPr>
        <w:t>בהתאם</w:t>
      </w:r>
      <w:r w:rsidR="00C87D2C" w:rsidRPr="00C87D2C">
        <w:rPr>
          <w:rFonts w:ascii="David" w:hAnsi="David" w:cs="David"/>
          <w:rtl/>
        </w:rPr>
        <w:t xml:space="preserve"> </w:t>
      </w:r>
      <w:r w:rsidR="00C87D2C" w:rsidRPr="00C87D2C">
        <w:rPr>
          <w:rFonts w:ascii="David" w:hAnsi="David" w:cs="David" w:hint="cs"/>
          <w:rtl/>
        </w:rPr>
        <w:t>לאסדרה</w:t>
      </w:r>
      <w:r w:rsidR="00C87D2C" w:rsidRPr="00C87D2C">
        <w:rPr>
          <w:rFonts w:ascii="David" w:hAnsi="David" w:cs="David"/>
          <w:rtl/>
        </w:rPr>
        <w:t xml:space="preserve"> </w:t>
      </w:r>
      <w:r w:rsidR="00C87D2C" w:rsidRPr="00C87D2C">
        <w:rPr>
          <w:rFonts w:ascii="David" w:hAnsi="David" w:cs="David" w:hint="cs"/>
          <w:rtl/>
        </w:rPr>
        <w:t>האירופית</w:t>
      </w:r>
      <w:r w:rsidR="00C87D2C" w:rsidRPr="00C87D2C">
        <w:rPr>
          <w:rFonts w:ascii="David" w:hAnsi="David" w:cs="David"/>
          <w:rtl/>
        </w:rPr>
        <w:t xml:space="preserve"> </w:t>
      </w:r>
      <w:r w:rsidR="00C87D2C" w:rsidRPr="00C87D2C">
        <w:rPr>
          <w:rFonts w:ascii="David" w:hAnsi="David" w:cs="David" w:hint="cs"/>
          <w:rtl/>
        </w:rPr>
        <w:t>ובהתחשב</w:t>
      </w:r>
      <w:r w:rsidR="00C87D2C" w:rsidRPr="00C87D2C">
        <w:rPr>
          <w:rFonts w:ascii="David" w:hAnsi="David" w:cs="David"/>
          <w:rtl/>
        </w:rPr>
        <w:t xml:space="preserve">, </w:t>
      </w:r>
      <w:r w:rsidR="00C87D2C" w:rsidRPr="00C87D2C">
        <w:rPr>
          <w:rFonts w:ascii="David" w:hAnsi="David" w:cs="David" w:hint="cs"/>
          <w:rtl/>
        </w:rPr>
        <w:t>בין</w:t>
      </w:r>
    </w:p>
    <w:p w14:paraId="344EB0F8" w14:textId="3AE82D34" w:rsidR="00AA721C" w:rsidRPr="00C87D2C" w:rsidRDefault="00C87D2C" w:rsidP="00C87D2C">
      <w:pPr>
        <w:pStyle w:val="ListParagraph"/>
        <w:numPr>
          <w:ilvl w:val="0"/>
          <w:numId w:val="3"/>
        </w:numPr>
        <w:spacing w:line="360" w:lineRule="auto"/>
        <w:jc w:val="both"/>
        <w:rPr>
          <w:rFonts w:ascii="David" w:hAnsi="David" w:cs="David"/>
        </w:rPr>
      </w:pPr>
      <w:r w:rsidRPr="00C87D2C">
        <w:rPr>
          <w:rFonts w:ascii="David" w:hAnsi="David" w:cs="David" w:hint="cs"/>
          <w:rtl/>
        </w:rPr>
        <w:t>השאר</w:t>
      </w:r>
      <w:r w:rsidRPr="00C87D2C">
        <w:rPr>
          <w:rFonts w:ascii="David" w:hAnsi="David" w:cs="David"/>
          <w:rtl/>
        </w:rPr>
        <w:t xml:space="preserve">, </w:t>
      </w:r>
      <w:r w:rsidRPr="00C87D2C">
        <w:rPr>
          <w:rFonts w:ascii="David" w:hAnsi="David" w:cs="David" w:hint="cs"/>
          <w:rtl/>
        </w:rPr>
        <w:t>ביתרונותיה</w:t>
      </w:r>
      <w:r w:rsidRPr="00C87D2C">
        <w:rPr>
          <w:rFonts w:ascii="David" w:hAnsi="David" w:cs="David"/>
          <w:rtl/>
        </w:rPr>
        <w:t xml:space="preserve"> </w:t>
      </w:r>
      <w:r w:rsidRPr="00C87D2C">
        <w:rPr>
          <w:rFonts w:ascii="David" w:hAnsi="David" w:cs="David" w:hint="cs"/>
          <w:rtl/>
        </w:rPr>
        <w:t>הסביבתיים</w:t>
      </w:r>
      <w:r w:rsidRPr="00C87D2C">
        <w:rPr>
          <w:rFonts w:ascii="David" w:hAnsi="David" w:cs="David"/>
          <w:rtl/>
        </w:rPr>
        <w:t xml:space="preserve"> </w:t>
      </w:r>
      <w:r w:rsidRPr="00C87D2C">
        <w:rPr>
          <w:rFonts w:ascii="David" w:hAnsi="David" w:cs="David" w:hint="cs"/>
          <w:rtl/>
        </w:rPr>
        <w:t>ובעלויותיה</w:t>
      </w:r>
      <w:r w:rsidRPr="00C87D2C">
        <w:rPr>
          <w:rFonts w:ascii="David" w:hAnsi="David" w:cs="David"/>
          <w:rtl/>
        </w:rPr>
        <w:t xml:space="preserve"> </w:t>
      </w:r>
      <w:r w:rsidRPr="00C87D2C">
        <w:rPr>
          <w:rFonts w:ascii="David" w:hAnsi="David" w:cs="David" w:hint="cs"/>
          <w:rtl/>
        </w:rPr>
        <w:t>לעומת</w:t>
      </w:r>
      <w:r w:rsidRPr="00C87D2C">
        <w:rPr>
          <w:rFonts w:ascii="David" w:hAnsi="David" w:cs="David"/>
          <w:rtl/>
        </w:rPr>
        <w:t xml:space="preserve"> </w:t>
      </w:r>
      <w:r w:rsidRPr="00C87D2C">
        <w:rPr>
          <w:rFonts w:ascii="David" w:hAnsi="David" w:cs="David" w:hint="cs"/>
          <w:rtl/>
        </w:rPr>
        <w:t>חלופות אחרות</w:t>
      </w:r>
      <w:r w:rsidRPr="00C87D2C">
        <w:rPr>
          <w:rFonts w:ascii="David" w:hAnsi="David" w:cs="David"/>
          <w:rtl/>
        </w:rPr>
        <w:t xml:space="preserve">, </w:t>
      </w:r>
      <w:r w:rsidRPr="00C87D2C">
        <w:rPr>
          <w:rFonts w:ascii="David" w:hAnsi="David" w:cs="David" w:hint="cs"/>
          <w:rtl/>
        </w:rPr>
        <w:t>והכול</w:t>
      </w:r>
      <w:r w:rsidRPr="00C87D2C">
        <w:rPr>
          <w:rFonts w:ascii="David" w:hAnsi="David" w:cs="David"/>
          <w:rtl/>
        </w:rPr>
        <w:t xml:space="preserve"> </w:t>
      </w:r>
      <w:r w:rsidRPr="00C87D2C">
        <w:rPr>
          <w:rFonts w:ascii="David" w:hAnsi="David" w:cs="David" w:hint="cs"/>
          <w:rtl/>
        </w:rPr>
        <w:t>בהתאם</w:t>
      </w:r>
      <w:r w:rsidRPr="00C87D2C">
        <w:rPr>
          <w:rFonts w:ascii="David" w:hAnsi="David" w:cs="David"/>
          <w:rtl/>
        </w:rPr>
        <w:t xml:space="preserve"> </w:t>
      </w:r>
      <w:r w:rsidR="00AA721C" w:rsidRPr="00C87D2C">
        <w:rPr>
          <w:rFonts w:ascii="David" w:hAnsi="David" w:cs="David" w:hint="cs"/>
          <w:rtl/>
        </w:rPr>
        <w:t xml:space="preserve">להנחיות שיפרסם הממונה. </w:t>
      </w:r>
    </w:p>
    <w:p w14:paraId="31292792" w14:textId="20AADF5A" w:rsidR="00AA721C" w:rsidRPr="005A2E29" w:rsidRDefault="00AA721C" w:rsidP="00C87D2C">
      <w:pPr>
        <w:pStyle w:val="ListParagraph"/>
        <w:numPr>
          <w:ilvl w:val="0"/>
          <w:numId w:val="3"/>
        </w:numPr>
        <w:spacing w:line="360" w:lineRule="auto"/>
        <w:jc w:val="both"/>
        <w:rPr>
          <w:rFonts w:ascii="David" w:hAnsi="David" w:cs="David"/>
          <w:rtl/>
        </w:rPr>
      </w:pPr>
      <w:r w:rsidRPr="00016C3E">
        <w:rPr>
          <w:rFonts w:ascii="David" w:hAnsi="David" w:cs="David" w:hint="cs"/>
          <w:b/>
          <w:bCs/>
          <w:rtl/>
        </w:rPr>
        <w:t>תקופת תוקפו של היתר פליטה אחוד</w:t>
      </w:r>
      <w:r>
        <w:rPr>
          <w:rFonts w:ascii="David" w:hAnsi="David" w:cs="David" w:hint="cs"/>
          <w:rtl/>
        </w:rPr>
        <w:t xml:space="preserve"> </w:t>
      </w:r>
      <w:r>
        <w:rPr>
          <w:rFonts w:ascii="David" w:hAnsi="David" w:cs="David"/>
          <w:rtl/>
        </w:rPr>
        <w:t>–</w:t>
      </w:r>
      <w:r>
        <w:rPr>
          <w:rFonts w:ascii="David" w:hAnsi="David" w:cs="David" w:hint="cs"/>
          <w:rtl/>
        </w:rPr>
        <w:t xml:space="preserve"> ככלל, בהתאם לסעיף קטן 25(א) לדין החדש היתר פליטה יינתן לתקופה של עשר שנים. על אף האמור, היתר פליטה אחוד ראשון יינתן לתקופה של שבע שנים. </w:t>
      </w:r>
    </w:p>
    <w:p w14:paraId="5A381C62" w14:textId="77777777" w:rsidR="00CC6B83" w:rsidRDefault="00CC6B83" w:rsidP="00E23A7E">
      <w:pPr>
        <w:spacing w:line="360" w:lineRule="auto"/>
        <w:jc w:val="both"/>
        <w:rPr>
          <w:rFonts w:ascii="David" w:hAnsi="David" w:cs="David"/>
          <w:sz w:val="24"/>
          <w:szCs w:val="24"/>
          <w:rtl/>
        </w:rPr>
      </w:pPr>
    </w:p>
    <w:p w14:paraId="701BF165" w14:textId="1917964A" w:rsidR="002069BF" w:rsidRPr="00016C3E" w:rsidRDefault="002A0AA0" w:rsidP="00D80AD2">
      <w:pPr>
        <w:pStyle w:val="ListParagraph"/>
        <w:numPr>
          <w:ilvl w:val="0"/>
          <w:numId w:val="2"/>
        </w:numPr>
        <w:spacing w:line="360" w:lineRule="auto"/>
        <w:jc w:val="both"/>
        <w:rPr>
          <w:rFonts w:ascii="David" w:hAnsi="David" w:cs="David"/>
          <w:b/>
          <w:bCs/>
          <w:rtl/>
        </w:rPr>
      </w:pPr>
      <w:r w:rsidRPr="00016C3E">
        <w:rPr>
          <w:rFonts w:ascii="David" w:hAnsi="David" w:cs="David" w:hint="cs"/>
          <w:b/>
          <w:bCs/>
          <w:rtl/>
        </w:rPr>
        <w:t>הוראות מעבר ב</w:t>
      </w:r>
      <w:r w:rsidR="002069BF" w:rsidRPr="00016C3E">
        <w:rPr>
          <w:rFonts w:ascii="David" w:hAnsi="David" w:cs="David" w:hint="cs"/>
          <w:b/>
          <w:bCs/>
          <w:rtl/>
        </w:rPr>
        <w:t>חוק החומרים המסוכנים</w:t>
      </w:r>
    </w:p>
    <w:p w14:paraId="5BCD595A" w14:textId="60FD6F97" w:rsidR="00CC6B83" w:rsidRDefault="00CC6B83" w:rsidP="00A03915">
      <w:pPr>
        <w:pStyle w:val="ListParagraph"/>
        <w:numPr>
          <w:ilvl w:val="0"/>
          <w:numId w:val="1"/>
        </w:numPr>
        <w:spacing w:line="360" w:lineRule="auto"/>
        <w:jc w:val="both"/>
        <w:rPr>
          <w:rFonts w:ascii="David" w:hAnsi="David" w:cs="David"/>
        </w:rPr>
      </w:pPr>
      <w:r>
        <w:rPr>
          <w:rFonts w:ascii="David" w:hAnsi="David" w:cs="David" w:hint="cs"/>
          <w:rtl/>
        </w:rPr>
        <w:t xml:space="preserve">סעיף </w:t>
      </w:r>
      <w:r w:rsidR="00E6190E">
        <w:rPr>
          <w:rFonts w:ascii="David" w:hAnsi="David" w:cs="David" w:hint="cs"/>
          <w:rtl/>
        </w:rPr>
        <w:t>19</w:t>
      </w:r>
      <w:r>
        <w:rPr>
          <w:rFonts w:ascii="David" w:hAnsi="David" w:cs="David" w:hint="cs"/>
          <w:rtl/>
        </w:rPr>
        <w:t xml:space="preserve"> </w:t>
      </w:r>
      <w:r w:rsidR="00016C3E">
        <w:rPr>
          <w:rFonts w:ascii="David" w:hAnsi="David" w:cs="David" w:hint="cs"/>
          <w:rtl/>
        </w:rPr>
        <w:t>ב</w:t>
      </w:r>
      <w:r>
        <w:rPr>
          <w:rFonts w:ascii="David" w:hAnsi="David" w:cs="David" w:hint="cs"/>
          <w:rtl/>
        </w:rPr>
        <w:t xml:space="preserve">חוק </w:t>
      </w:r>
      <w:r w:rsidR="00E6190E">
        <w:rPr>
          <w:rFonts w:ascii="David" w:hAnsi="David" w:cs="David" w:hint="cs"/>
          <w:rtl/>
        </w:rPr>
        <w:t>החומרים המסוכנים קובע את הוראות המעבר לעניין עוסק בעיסוק טעון היתר שהוא מפעל קיים המחזיק היתר רעלים ערב יום התחילה:</w:t>
      </w:r>
    </w:p>
    <w:p w14:paraId="7D661428" w14:textId="75AECC91" w:rsidR="00E6190E" w:rsidRDefault="00E6190E" w:rsidP="00A03915">
      <w:pPr>
        <w:pStyle w:val="ListParagraph"/>
        <w:numPr>
          <w:ilvl w:val="1"/>
          <w:numId w:val="1"/>
        </w:numPr>
        <w:spacing w:line="360" w:lineRule="auto"/>
        <w:jc w:val="both"/>
        <w:rPr>
          <w:rFonts w:ascii="David" w:hAnsi="David" w:cs="David"/>
        </w:rPr>
      </w:pPr>
      <w:r w:rsidRPr="00016C3E">
        <w:rPr>
          <w:rFonts w:ascii="David" w:hAnsi="David" w:cs="David" w:hint="cs"/>
          <w:b/>
          <w:bCs/>
          <w:rtl/>
        </w:rPr>
        <w:t>היתרי רעלים יעמדו בתוקפם</w:t>
      </w:r>
      <w:r w:rsidRPr="0095033B">
        <w:rPr>
          <w:rFonts w:ascii="David" w:hAnsi="David" w:cs="David" w:hint="cs"/>
          <w:rtl/>
        </w:rPr>
        <w:t xml:space="preserve">, ולא יידרשו בחידוש, וזאת </w:t>
      </w:r>
      <w:r w:rsidRPr="00016C3E">
        <w:rPr>
          <w:rFonts w:ascii="David" w:hAnsi="David" w:cs="David" w:hint="cs"/>
          <w:b/>
          <w:bCs/>
          <w:rtl/>
        </w:rPr>
        <w:t>עד למועד מתן החלטה בבקשה לחידוש</w:t>
      </w:r>
      <w:r>
        <w:rPr>
          <w:rFonts w:ascii="David" w:hAnsi="David" w:cs="David" w:hint="cs"/>
          <w:rtl/>
        </w:rPr>
        <w:t xml:space="preserve"> שתוגש במועד המחייב לפי החוק</w:t>
      </w:r>
      <w:r w:rsidR="00DE37CD">
        <w:rPr>
          <w:rFonts w:ascii="David" w:hAnsi="David" w:cs="David" w:hint="cs"/>
          <w:rtl/>
        </w:rPr>
        <w:t>, כפוף להתקיימות התנאים המפורטים</w:t>
      </w:r>
      <w:r>
        <w:rPr>
          <w:rFonts w:ascii="David" w:hAnsi="David" w:cs="David" w:hint="cs"/>
          <w:rtl/>
        </w:rPr>
        <w:t>.</w:t>
      </w:r>
      <w:r w:rsidRPr="0095033B">
        <w:rPr>
          <w:rFonts w:ascii="David" w:hAnsi="David" w:cs="David" w:hint="cs"/>
          <w:rtl/>
        </w:rPr>
        <w:t xml:space="preserve"> </w:t>
      </w:r>
    </w:p>
    <w:p w14:paraId="69B999E2" w14:textId="4DEAD946" w:rsidR="00E6190E" w:rsidRDefault="00E6190E" w:rsidP="00A03915">
      <w:pPr>
        <w:pStyle w:val="ListParagraph"/>
        <w:numPr>
          <w:ilvl w:val="1"/>
          <w:numId w:val="1"/>
        </w:numPr>
        <w:spacing w:line="360" w:lineRule="auto"/>
        <w:jc w:val="both"/>
        <w:rPr>
          <w:rFonts w:ascii="David" w:hAnsi="David" w:cs="David"/>
        </w:rPr>
      </w:pPr>
      <w:r w:rsidRPr="00E6190E">
        <w:rPr>
          <w:rFonts w:ascii="David" w:hAnsi="David" w:cs="David" w:hint="cs"/>
          <w:rtl/>
        </w:rPr>
        <w:t xml:space="preserve">המועד המחייב לפי החוק יהיה </w:t>
      </w:r>
      <w:r w:rsidRPr="0095033B">
        <w:rPr>
          <w:rFonts w:ascii="David" w:hAnsi="David" w:cs="David" w:hint="cs"/>
          <w:rtl/>
        </w:rPr>
        <w:t xml:space="preserve">המועד הקבוע </w:t>
      </w:r>
      <w:r>
        <w:rPr>
          <w:rFonts w:ascii="David" w:hAnsi="David" w:cs="David" w:hint="cs"/>
          <w:rtl/>
        </w:rPr>
        <w:t>בתוספת השלישית לחוק</w:t>
      </w:r>
      <w:r w:rsidR="00DE37CD">
        <w:rPr>
          <w:rFonts w:ascii="David" w:hAnsi="David" w:cs="David" w:hint="cs"/>
          <w:rtl/>
        </w:rPr>
        <w:t>,</w:t>
      </w:r>
      <w:r>
        <w:rPr>
          <w:rFonts w:ascii="David" w:hAnsi="David" w:cs="David" w:hint="cs"/>
          <w:rtl/>
        </w:rPr>
        <w:t xml:space="preserve"> לפי סוג הפעילות בחומרים מסוכנים והיקפה, סוגי החומרים המסוכנים, תכונותיהם וכמויותיהם; לעני</w:t>
      </w:r>
      <w:r w:rsidR="00016C3E">
        <w:rPr>
          <w:rFonts w:ascii="David" w:hAnsi="David" w:cs="David" w:hint="cs"/>
          <w:rtl/>
        </w:rPr>
        <w:t>י</w:t>
      </w:r>
      <w:r>
        <w:rPr>
          <w:rFonts w:ascii="David" w:hAnsi="David" w:cs="David" w:hint="cs"/>
          <w:rtl/>
        </w:rPr>
        <w:t>ן מפעל קיים שמתבצע בו יותר מסוג עיסוק אחד, יהיה המועד להגשת הבקשה כמפורט להלן, אלא אם אישר הממונה אחרת לבקשת בעל היתר הרעלים:</w:t>
      </w:r>
    </w:p>
    <w:p w14:paraId="4BD60FB4" w14:textId="50209290" w:rsidR="00E6190E" w:rsidRPr="00E6190E" w:rsidRDefault="00E6190E" w:rsidP="00DE37CD">
      <w:pPr>
        <w:pStyle w:val="ListParagraph"/>
        <w:numPr>
          <w:ilvl w:val="2"/>
          <w:numId w:val="1"/>
        </w:numPr>
        <w:spacing w:line="360" w:lineRule="auto"/>
        <w:jc w:val="both"/>
        <w:rPr>
          <w:rFonts w:ascii="David" w:hAnsi="David" w:cs="David"/>
        </w:rPr>
      </w:pPr>
      <w:r>
        <w:rPr>
          <w:rFonts w:ascii="David" w:hAnsi="David" w:cs="David" w:hint="cs"/>
          <w:rtl/>
        </w:rPr>
        <w:t xml:space="preserve">לעניין עיסוקים הטעונים היתר רעלים </w:t>
      </w:r>
      <w:r w:rsidR="00DE37CD">
        <w:rPr>
          <w:rFonts w:ascii="David" w:hAnsi="David" w:cs="David" w:hint="cs"/>
          <w:rtl/>
        </w:rPr>
        <w:t xml:space="preserve">שכולם </w:t>
      </w:r>
      <w:r>
        <w:rPr>
          <w:rFonts w:ascii="David" w:hAnsi="David" w:cs="David" w:hint="cs"/>
          <w:rtl/>
        </w:rPr>
        <w:t xml:space="preserve">באותה רמה </w:t>
      </w:r>
      <w:r w:rsidR="00DE37CD">
        <w:rPr>
          <w:rFonts w:ascii="David" w:hAnsi="David" w:cs="David" w:hint="cs"/>
          <w:rtl/>
        </w:rPr>
        <w:t xml:space="preserve">(רמה א' או רמה ב') </w:t>
      </w:r>
      <w:r>
        <w:rPr>
          <w:rFonts w:ascii="David" w:hAnsi="David" w:cs="David"/>
          <w:rtl/>
        </w:rPr>
        <w:t>–</w:t>
      </w:r>
      <w:r>
        <w:rPr>
          <w:rFonts w:ascii="David" w:hAnsi="David" w:cs="David" w:hint="cs"/>
          <w:rtl/>
        </w:rPr>
        <w:t xml:space="preserve"> המועד המוקדם מב</w:t>
      </w:r>
      <w:r w:rsidR="00DE37CD">
        <w:rPr>
          <w:rFonts w:ascii="David" w:hAnsi="David" w:cs="David" w:hint="cs"/>
          <w:rtl/>
        </w:rPr>
        <w:t>י</w:t>
      </w:r>
      <w:r>
        <w:rPr>
          <w:rFonts w:ascii="David" w:hAnsi="David" w:cs="David" w:hint="cs"/>
          <w:rtl/>
        </w:rPr>
        <w:t>ניהם</w:t>
      </w:r>
      <w:r w:rsidRPr="00E6190E">
        <w:rPr>
          <w:rFonts w:ascii="David" w:hAnsi="David" w:cs="David" w:hint="cs"/>
          <w:rtl/>
        </w:rPr>
        <w:t>;</w:t>
      </w:r>
    </w:p>
    <w:p w14:paraId="21512C91" w14:textId="77777777" w:rsidR="00E6190E" w:rsidRDefault="00E6190E" w:rsidP="00DE37CD">
      <w:pPr>
        <w:pStyle w:val="ListParagraph"/>
        <w:numPr>
          <w:ilvl w:val="2"/>
          <w:numId w:val="1"/>
        </w:numPr>
        <w:spacing w:line="360" w:lineRule="auto"/>
        <w:jc w:val="both"/>
        <w:rPr>
          <w:rFonts w:ascii="David" w:hAnsi="David" w:cs="David"/>
        </w:rPr>
      </w:pPr>
      <w:r>
        <w:rPr>
          <w:rFonts w:ascii="David" w:hAnsi="David" w:cs="David" w:hint="cs"/>
          <w:rtl/>
        </w:rPr>
        <w:t xml:space="preserve">לעניין עיסוקים שחלקם מנויים בחלק א' לתוספת השלישית (סוגי פעילויות) וחלקם מנויים בחלק ב' לתוספת השלישית (חומרים ותכונותיהם) </w:t>
      </w:r>
      <w:r>
        <w:rPr>
          <w:rFonts w:ascii="David" w:hAnsi="David" w:cs="David"/>
          <w:rtl/>
        </w:rPr>
        <w:t>–</w:t>
      </w:r>
      <w:r>
        <w:rPr>
          <w:rFonts w:ascii="David" w:hAnsi="David" w:cs="David" w:hint="cs"/>
          <w:rtl/>
        </w:rPr>
        <w:t xml:space="preserve"> המועד המוקדם מבין המועדים הקבועים </w:t>
      </w:r>
      <w:r w:rsidRPr="009F6891">
        <w:rPr>
          <w:rFonts w:ascii="David" w:hAnsi="David" w:cs="David" w:hint="cs"/>
          <w:b/>
          <w:bCs/>
          <w:rtl/>
        </w:rPr>
        <w:t>בחלק</w:t>
      </w:r>
      <w:r w:rsidRPr="009F6891">
        <w:rPr>
          <w:rFonts w:ascii="David" w:hAnsi="David" w:cs="David"/>
          <w:b/>
          <w:bCs/>
          <w:rtl/>
        </w:rPr>
        <w:t xml:space="preserve"> </w:t>
      </w:r>
      <w:r w:rsidRPr="009F6891">
        <w:rPr>
          <w:rFonts w:ascii="David" w:hAnsi="David" w:cs="David" w:hint="cs"/>
          <w:b/>
          <w:bCs/>
          <w:rtl/>
        </w:rPr>
        <w:t>א</w:t>
      </w:r>
      <w:r w:rsidRPr="009F6891">
        <w:rPr>
          <w:rFonts w:ascii="David" w:hAnsi="David" w:cs="David"/>
          <w:b/>
          <w:bCs/>
          <w:rtl/>
        </w:rPr>
        <w:t>'</w:t>
      </w:r>
      <w:r w:rsidRPr="009F6891">
        <w:rPr>
          <w:rFonts w:ascii="David" w:hAnsi="David" w:cs="David" w:hint="cs"/>
          <w:b/>
          <w:bCs/>
          <w:rtl/>
        </w:rPr>
        <w:t xml:space="preserve"> </w:t>
      </w:r>
      <w:r>
        <w:rPr>
          <w:rFonts w:ascii="David" w:hAnsi="David" w:cs="David" w:hint="cs"/>
          <w:rtl/>
        </w:rPr>
        <w:t xml:space="preserve">לתוספת השלישית. </w:t>
      </w:r>
    </w:p>
    <w:p w14:paraId="6E2557E9" w14:textId="2C828066" w:rsidR="00E6190E" w:rsidRDefault="00126026" w:rsidP="00DE37CD">
      <w:pPr>
        <w:pStyle w:val="ListParagraph"/>
        <w:numPr>
          <w:ilvl w:val="2"/>
          <w:numId w:val="1"/>
        </w:numPr>
        <w:spacing w:line="360" w:lineRule="auto"/>
        <w:jc w:val="both"/>
        <w:rPr>
          <w:rFonts w:ascii="David" w:hAnsi="David" w:cs="David"/>
        </w:rPr>
      </w:pPr>
      <w:r>
        <w:rPr>
          <w:rFonts w:ascii="David" w:hAnsi="David" w:cs="David" w:hint="cs"/>
          <w:rtl/>
        </w:rPr>
        <w:t xml:space="preserve">לעניין עיסוקים בהיקפי פעילות שונים, שחלקם טעונים היתר רעלים ברמה א' וחלקם טעונים היתר רעלים ברמה ב' </w:t>
      </w:r>
      <w:r>
        <w:rPr>
          <w:rFonts w:ascii="David" w:hAnsi="David" w:cs="David"/>
          <w:rtl/>
        </w:rPr>
        <w:t>–</w:t>
      </w:r>
      <w:r>
        <w:rPr>
          <w:rFonts w:ascii="David" w:hAnsi="David" w:cs="David" w:hint="cs"/>
          <w:rtl/>
        </w:rPr>
        <w:t xml:space="preserve"> המועד המוקדם מבין המועדים הקבועים בתוספת השלישית לעניין היתר רעלים </w:t>
      </w:r>
      <w:r w:rsidRPr="009F6891">
        <w:rPr>
          <w:rFonts w:ascii="David" w:hAnsi="David" w:cs="David" w:hint="cs"/>
          <w:b/>
          <w:bCs/>
          <w:rtl/>
        </w:rPr>
        <w:t>ברמה</w:t>
      </w:r>
      <w:r w:rsidRPr="009F6891">
        <w:rPr>
          <w:rFonts w:ascii="David" w:hAnsi="David" w:cs="David"/>
          <w:b/>
          <w:bCs/>
          <w:rtl/>
        </w:rPr>
        <w:t xml:space="preserve"> </w:t>
      </w:r>
      <w:r w:rsidRPr="009F6891">
        <w:rPr>
          <w:rFonts w:ascii="David" w:hAnsi="David" w:cs="David" w:hint="cs"/>
          <w:b/>
          <w:bCs/>
          <w:rtl/>
        </w:rPr>
        <w:t>א</w:t>
      </w:r>
      <w:r w:rsidRPr="009F6891">
        <w:rPr>
          <w:rFonts w:ascii="David" w:hAnsi="David" w:cs="David"/>
          <w:b/>
          <w:bCs/>
          <w:rtl/>
        </w:rPr>
        <w:t>'</w:t>
      </w:r>
      <w:r>
        <w:rPr>
          <w:rFonts w:ascii="David" w:hAnsi="David" w:cs="David" w:hint="cs"/>
          <w:rtl/>
        </w:rPr>
        <w:t xml:space="preserve">. </w:t>
      </w:r>
    </w:p>
    <w:p w14:paraId="0BE0DE8C" w14:textId="11437FF0" w:rsidR="00E6190E" w:rsidRDefault="00E6190E" w:rsidP="00B16425">
      <w:pPr>
        <w:pStyle w:val="ListParagraph"/>
        <w:numPr>
          <w:ilvl w:val="0"/>
          <w:numId w:val="1"/>
        </w:numPr>
        <w:spacing w:line="360" w:lineRule="auto"/>
        <w:jc w:val="both"/>
        <w:rPr>
          <w:rFonts w:ascii="David" w:hAnsi="David" w:cs="David"/>
        </w:rPr>
      </w:pPr>
      <w:r>
        <w:rPr>
          <w:rFonts w:ascii="David" w:hAnsi="David" w:cs="David" w:hint="cs"/>
          <w:rtl/>
        </w:rPr>
        <w:t xml:space="preserve">בהתאם לסעיף </w:t>
      </w:r>
      <w:r w:rsidR="00126026">
        <w:rPr>
          <w:rFonts w:ascii="David" w:hAnsi="David" w:cs="David" w:hint="cs"/>
          <w:rtl/>
        </w:rPr>
        <w:t>20</w:t>
      </w:r>
      <w:r>
        <w:rPr>
          <w:rFonts w:ascii="David" w:hAnsi="David" w:cs="David" w:hint="cs"/>
          <w:rtl/>
        </w:rPr>
        <w:t xml:space="preserve">, על בקשה להיתר </w:t>
      </w:r>
      <w:r w:rsidR="00126026">
        <w:rPr>
          <w:rFonts w:ascii="David" w:hAnsi="David" w:cs="David" w:hint="cs"/>
          <w:rtl/>
        </w:rPr>
        <w:t>רעלים</w:t>
      </w:r>
      <w:r>
        <w:rPr>
          <w:rFonts w:ascii="David" w:hAnsi="David" w:cs="David" w:hint="cs"/>
          <w:rtl/>
        </w:rPr>
        <w:t xml:space="preserve"> חדש שהוגשה לפני היום הקובע, יחולו הוראות הדין הישן. על היתרי </w:t>
      </w:r>
      <w:r w:rsidR="00126026">
        <w:rPr>
          <w:rFonts w:ascii="David" w:hAnsi="David" w:cs="David" w:hint="cs"/>
          <w:rtl/>
        </w:rPr>
        <w:t>הרעלים</w:t>
      </w:r>
      <w:r>
        <w:rPr>
          <w:rFonts w:ascii="David" w:hAnsi="David" w:cs="David" w:hint="cs"/>
          <w:rtl/>
        </w:rPr>
        <w:t xml:space="preserve"> שיינתנו במקרים אלה, יחולו הוראות הדין החדש, כאילו היו מפעלים קיימים</w:t>
      </w:r>
      <w:r w:rsidR="00DD77A0">
        <w:rPr>
          <w:rFonts w:ascii="David" w:hAnsi="David" w:cs="David" w:hint="cs"/>
          <w:rtl/>
        </w:rPr>
        <w:t xml:space="preserve"> (כהגדרתם בחוק)</w:t>
      </w:r>
      <w:r>
        <w:rPr>
          <w:rFonts w:ascii="David" w:hAnsi="David" w:cs="David" w:hint="cs"/>
          <w:rtl/>
        </w:rPr>
        <w:t xml:space="preserve">. </w:t>
      </w:r>
    </w:p>
    <w:p w14:paraId="4CC66259" w14:textId="6658381D" w:rsidR="00E6190E" w:rsidRDefault="00E6190E" w:rsidP="00B16425">
      <w:pPr>
        <w:pStyle w:val="ListParagraph"/>
        <w:numPr>
          <w:ilvl w:val="0"/>
          <w:numId w:val="1"/>
        </w:numPr>
        <w:spacing w:line="360" w:lineRule="auto"/>
        <w:jc w:val="both"/>
        <w:rPr>
          <w:rFonts w:ascii="David" w:hAnsi="David" w:cs="David"/>
        </w:rPr>
      </w:pPr>
      <w:r>
        <w:rPr>
          <w:rFonts w:ascii="David" w:hAnsi="David" w:cs="David" w:hint="cs"/>
          <w:rtl/>
        </w:rPr>
        <w:t xml:space="preserve">סעיף </w:t>
      </w:r>
      <w:r w:rsidR="00126026">
        <w:rPr>
          <w:rFonts w:ascii="David" w:hAnsi="David" w:cs="David" w:hint="cs"/>
          <w:rtl/>
        </w:rPr>
        <w:t>21</w:t>
      </w:r>
      <w:r>
        <w:rPr>
          <w:rFonts w:ascii="David" w:hAnsi="David" w:cs="David" w:hint="cs"/>
          <w:rtl/>
        </w:rPr>
        <w:t xml:space="preserve"> קובע את </w:t>
      </w:r>
      <w:r w:rsidRPr="00016C3E">
        <w:rPr>
          <w:rFonts w:ascii="David" w:hAnsi="David" w:cs="David" w:hint="cs"/>
          <w:b/>
          <w:bCs/>
          <w:rtl/>
        </w:rPr>
        <w:t>תחולת הדין החדש על מפעלים קיימים</w:t>
      </w:r>
      <w:r>
        <w:rPr>
          <w:rFonts w:ascii="David" w:hAnsi="David" w:cs="David" w:hint="cs"/>
          <w:rtl/>
        </w:rPr>
        <w:t>:</w:t>
      </w:r>
    </w:p>
    <w:p w14:paraId="71B7C0BA" w14:textId="639ABA5E" w:rsidR="00E6190E" w:rsidRDefault="00E6190E" w:rsidP="00B16425">
      <w:pPr>
        <w:pStyle w:val="ListParagraph"/>
        <w:numPr>
          <w:ilvl w:val="1"/>
          <w:numId w:val="1"/>
        </w:numPr>
        <w:spacing w:line="360" w:lineRule="auto"/>
        <w:jc w:val="both"/>
        <w:rPr>
          <w:rFonts w:ascii="David" w:hAnsi="David" w:cs="David"/>
        </w:rPr>
      </w:pPr>
      <w:r>
        <w:rPr>
          <w:rFonts w:ascii="David" w:hAnsi="David" w:cs="David" w:hint="cs"/>
          <w:rtl/>
        </w:rPr>
        <w:t xml:space="preserve">לעניין מפעל שאינו טעון היתר </w:t>
      </w:r>
      <w:r w:rsidR="00126026">
        <w:rPr>
          <w:rFonts w:ascii="David" w:hAnsi="David" w:cs="David" w:hint="cs"/>
          <w:rtl/>
        </w:rPr>
        <w:t>רעלים</w:t>
      </w:r>
      <w:r>
        <w:rPr>
          <w:rFonts w:ascii="David" w:hAnsi="David" w:cs="David" w:hint="cs"/>
          <w:rtl/>
        </w:rPr>
        <w:t xml:space="preserve"> אחוד </w:t>
      </w:r>
      <w:r>
        <w:rPr>
          <w:rFonts w:ascii="David" w:hAnsi="David" w:cs="David"/>
          <w:rtl/>
        </w:rPr>
        <w:t>–</w:t>
      </w:r>
      <w:r>
        <w:rPr>
          <w:rFonts w:ascii="David" w:hAnsi="David" w:cs="David" w:hint="cs"/>
          <w:rtl/>
        </w:rPr>
        <w:t xml:space="preserve"> יחול הדין החדש מהיום הקובע. </w:t>
      </w:r>
    </w:p>
    <w:p w14:paraId="31699BF4" w14:textId="654E92C4" w:rsidR="00E6190E" w:rsidRDefault="00E6190E" w:rsidP="00B16425">
      <w:pPr>
        <w:pStyle w:val="ListParagraph"/>
        <w:numPr>
          <w:ilvl w:val="1"/>
          <w:numId w:val="1"/>
        </w:numPr>
        <w:spacing w:line="360" w:lineRule="auto"/>
        <w:jc w:val="both"/>
        <w:rPr>
          <w:rFonts w:ascii="David" w:hAnsi="David" w:cs="David"/>
        </w:rPr>
      </w:pPr>
      <w:r>
        <w:rPr>
          <w:rFonts w:ascii="David" w:hAnsi="David" w:cs="David" w:hint="cs"/>
          <w:rtl/>
        </w:rPr>
        <w:t xml:space="preserve">לעניין מפעל קיים טעון היתר </w:t>
      </w:r>
      <w:r w:rsidR="00126026">
        <w:rPr>
          <w:rFonts w:ascii="David" w:hAnsi="David" w:cs="David" w:hint="cs"/>
          <w:rtl/>
        </w:rPr>
        <w:t>רעלים</w:t>
      </w:r>
      <w:r>
        <w:rPr>
          <w:rFonts w:ascii="David" w:hAnsi="David" w:cs="David" w:hint="cs"/>
          <w:rtl/>
        </w:rPr>
        <w:t xml:space="preserve"> אחוד </w:t>
      </w:r>
      <w:r>
        <w:rPr>
          <w:rFonts w:ascii="David" w:hAnsi="David" w:cs="David"/>
          <w:rtl/>
        </w:rPr>
        <w:t>–</w:t>
      </w:r>
      <w:r>
        <w:rPr>
          <w:rFonts w:ascii="David" w:hAnsi="David" w:cs="David" w:hint="cs"/>
          <w:rtl/>
        </w:rPr>
        <w:t xml:space="preserve"> החל מהיום הקובע ועד תום תקופת הארכת תוקף ההיתר, לפי הוראות סעיף </w:t>
      </w:r>
      <w:r w:rsidR="00126026">
        <w:rPr>
          <w:rFonts w:ascii="David" w:hAnsi="David" w:cs="David" w:hint="cs"/>
          <w:rtl/>
        </w:rPr>
        <w:t>19</w:t>
      </w:r>
      <w:r>
        <w:rPr>
          <w:rFonts w:ascii="David" w:hAnsi="David" w:cs="David" w:hint="cs"/>
          <w:rtl/>
        </w:rPr>
        <w:t>, ייראו את היתר ה</w:t>
      </w:r>
      <w:r w:rsidR="00126026">
        <w:rPr>
          <w:rFonts w:ascii="David" w:hAnsi="David" w:cs="David" w:hint="cs"/>
          <w:rtl/>
        </w:rPr>
        <w:t>רעלים</w:t>
      </w:r>
      <w:r>
        <w:rPr>
          <w:rFonts w:ascii="David" w:hAnsi="David" w:cs="David" w:hint="cs"/>
          <w:rtl/>
        </w:rPr>
        <w:t xml:space="preserve"> הק</w:t>
      </w:r>
      <w:r w:rsidR="00126026">
        <w:rPr>
          <w:rFonts w:ascii="David" w:hAnsi="David" w:cs="David" w:hint="cs"/>
          <w:rtl/>
        </w:rPr>
        <w:t>י</w:t>
      </w:r>
      <w:r>
        <w:rPr>
          <w:rFonts w:ascii="David" w:hAnsi="David" w:cs="David" w:hint="cs"/>
          <w:rtl/>
        </w:rPr>
        <w:t xml:space="preserve">ים יחד עם </w:t>
      </w:r>
      <w:r w:rsidR="00126026">
        <w:rPr>
          <w:rFonts w:ascii="David" w:hAnsi="David" w:cs="David" w:hint="cs"/>
          <w:rtl/>
        </w:rPr>
        <w:t>התנאים ש</w:t>
      </w:r>
      <w:r>
        <w:rPr>
          <w:rFonts w:ascii="David" w:hAnsi="David" w:cs="David" w:hint="cs"/>
          <w:rtl/>
        </w:rPr>
        <w:t xml:space="preserve">ניתנו ברישיון העסק על ידי נותן האישור במשרד, כהיתר </w:t>
      </w:r>
      <w:r w:rsidR="00126026">
        <w:rPr>
          <w:rFonts w:ascii="David" w:hAnsi="David" w:cs="David" w:hint="cs"/>
          <w:rtl/>
        </w:rPr>
        <w:t>רעלים</w:t>
      </w:r>
      <w:r>
        <w:rPr>
          <w:rFonts w:ascii="David" w:hAnsi="David" w:cs="David" w:hint="cs"/>
          <w:rtl/>
        </w:rPr>
        <w:t xml:space="preserve"> אחוד ויחולו לגביו הוראות הדין החדש. עם זאת, בתקופה האמורה, יהיה רשאי </w:t>
      </w:r>
      <w:r>
        <w:rPr>
          <w:rFonts w:ascii="David" w:hAnsi="David" w:cs="David" w:hint="cs"/>
          <w:rtl/>
        </w:rPr>
        <w:lastRenderedPageBreak/>
        <w:t>הממונה לשנות תנאים בהיתר בהתאם לסמכויותיו לפי הדין הישן</w:t>
      </w:r>
      <w:r w:rsidR="00126026">
        <w:rPr>
          <w:rFonts w:ascii="David" w:hAnsi="David" w:cs="David" w:hint="cs"/>
          <w:rtl/>
        </w:rPr>
        <w:t>, ובכלל זה הוראות לפי סעיף 3(ה) לדין הישן.</w:t>
      </w:r>
      <w:r>
        <w:rPr>
          <w:rFonts w:ascii="David" w:hAnsi="David" w:cs="David" w:hint="cs"/>
          <w:rtl/>
        </w:rPr>
        <w:t xml:space="preserve"> </w:t>
      </w:r>
    </w:p>
    <w:p w14:paraId="05ED8A2F" w14:textId="0D107A6E" w:rsidR="00276241" w:rsidRDefault="00276241" w:rsidP="00B16425">
      <w:pPr>
        <w:pStyle w:val="ListParagraph"/>
        <w:numPr>
          <w:ilvl w:val="0"/>
          <w:numId w:val="1"/>
        </w:numPr>
        <w:spacing w:line="360" w:lineRule="auto"/>
        <w:jc w:val="both"/>
        <w:rPr>
          <w:rFonts w:ascii="David" w:hAnsi="David" w:cs="David"/>
        </w:rPr>
      </w:pPr>
      <w:r w:rsidRPr="00016C3E">
        <w:rPr>
          <w:rFonts w:ascii="David" w:hAnsi="David" w:cs="David" w:hint="cs"/>
          <w:b/>
          <w:bCs/>
          <w:rtl/>
        </w:rPr>
        <w:t xml:space="preserve">מתקני סילוק או טיפול בפסולת לא מסוכנת ומטמנות, למעט מטמנות לפסולת אינרטית </w:t>
      </w:r>
      <w:r>
        <w:rPr>
          <w:rFonts w:ascii="David" w:hAnsi="David" w:cs="David" w:hint="cs"/>
          <w:rtl/>
        </w:rPr>
        <w:t>(פרטים 5.3 ו</w:t>
      </w:r>
      <w:r w:rsidR="00B16425">
        <w:rPr>
          <w:rFonts w:ascii="David" w:hAnsi="David" w:cs="David" w:hint="cs"/>
          <w:rtl/>
        </w:rPr>
        <w:t>-</w:t>
      </w:r>
      <w:r>
        <w:rPr>
          <w:rFonts w:ascii="David" w:hAnsi="David" w:cs="David" w:hint="cs"/>
          <w:rtl/>
        </w:rPr>
        <w:t xml:space="preserve"> 5.4 לתוספת השלישית)</w:t>
      </w:r>
      <w:r w:rsidR="00016C3E">
        <w:rPr>
          <w:rFonts w:ascii="David" w:hAnsi="David" w:cs="David" w:hint="cs"/>
          <w:rtl/>
        </w:rPr>
        <w:t xml:space="preserve"> </w:t>
      </w:r>
      <w:r>
        <w:rPr>
          <w:rFonts w:ascii="David" w:hAnsi="David" w:cs="David"/>
          <w:rtl/>
        </w:rPr>
        <w:t>–</w:t>
      </w:r>
      <w:r>
        <w:rPr>
          <w:rFonts w:ascii="David" w:hAnsi="David" w:cs="David" w:hint="cs"/>
          <w:rtl/>
        </w:rPr>
        <w:t xml:space="preserve"> </w:t>
      </w:r>
    </w:p>
    <w:p w14:paraId="04DAE86C" w14:textId="64983823" w:rsidR="00276241" w:rsidRDefault="00276241" w:rsidP="007C36D8">
      <w:pPr>
        <w:pStyle w:val="ListParagraph"/>
        <w:numPr>
          <w:ilvl w:val="1"/>
          <w:numId w:val="1"/>
        </w:numPr>
        <w:spacing w:line="360" w:lineRule="auto"/>
        <w:jc w:val="both"/>
        <w:rPr>
          <w:rFonts w:ascii="David" w:hAnsi="David" w:cs="David"/>
        </w:rPr>
      </w:pPr>
      <w:r>
        <w:rPr>
          <w:rFonts w:ascii="David" w:hAnsi="David" w:cs="David" w:hint="cs"/>
          <w:rtl/>
        </w:rPr>
        <w:t xml:space="preserve">מי שהפעיל עסקים כאמור כדין בהתאם לתנאים שנתן נותן האישור במשרד ברישיון העסק ערב יום התחילה, רשאי להמשיך ולהפעיל אותם עד להחלטת הממונה בבקשה להיתר רעלים, אף בלא היתר רעלים. </w:t>
      </w:r>
    </w:p>
    <w:p w14:paraId="5D132550" w14:textId="64434A7D" w:rsidR="00276241" w:rsidRDefault="00276241" w:rsidP="007C36D8">
      <w:pPr>
        <w:pStyle w:val="ListParagraph"/>
        <w:numPr>
          <w:ilvl w:val="1"/>
          <w:numId w:val="1"/>
        </w:numPr>
        <w:spacing w:line="360" w:lineRule="auto"/>
        <w:jc w:val="both"/>
        <w:rPr>
          <w:rFonts w:ascii="David" w:hAnsi="David" w:cs="David"/>
        </w:rPr>
      </w:pPr>
      <w:r>
        <w:rPr>
          <w:rFonts w:ascii="David" w:hAnsi="David" w:cs="David" w:hint="cs"/>
          <w:rtl/>
        </w:rPr>
        <w:t xml:space="preserve">אם נדרש חידוש רישיון העסק בתקופה שעד קבלת ההחלטה כאמור, ייראו </w:t>
      </w:r>
      <w:r w:rsidR="006B5EB9">
        <w:rPr>
          <w:rFonts w:ascii="David" w:hAnsi="David" w:cs="David" w:hint="cs"/>
          <w:rtl/>
        </w:rPr>
        <w:t>את האישור וה</w:t>
      </w:r>
      <w:r>
        <w:rPr>
          <w:rFonts w:ascii="David" w:hAnsi="David" w:cs="David" w:hint="cs"/>
          <w:rtl/>
        </w:rPr>
        <w:t xml:space="preserve">תנאים שניתנו כאישור לעניין החידוש. </w:t>
      </w:r>
    </w:p>
    <w:p w14:paraId="428B631A" w14:textId="502B0927" w:rsidR="00276241" w:rsidRDefault="00276241" w:rsidP="007C36D8">
      <w:pPr>
        <w:pStyle w:val="ListParagraph"/>
        <w:numPr>
          <w:ilvl w:val="1"/>
          <w:numId w:val="1"/>
        </w:numPr>
        <w:spacing w:line="360" w:lineRule="auto"/>
        <w:jc w:val="both"/>
        <w:rPr>
          <w:rFonts w:ascii="David" w:hAnsi="David" w:cs="David"/>
        </w:rPr>
      </w:pPr>
      <w:r>
        <w:rPr>
          <w:rFonts w:ascii="David" w:hAnsi="David" w:cs="David" w:hint="cs"/>
          <w:rtl/>
        </w:rPr>
        <w:t xml:space="preserve">את הבקשה להיתר </w:t>
      </w:r>
      <w:r w:rsidR="000564B2">
        <w:rPr>
          <w:rFonts w:ascii="David" w:hAnsi="David" w:cs="David" w:hint="cs"/>
          <w:rtl/>
        </w:rPr>
        <w:t>רעלים</w:t>
      </w:r>
      <w:r>
        <w:rPr>
          <w:rFonts w:ascii="David" w:hAnsi="David" w:cs="David" w:hint="cs"/>
          <w:rtl/>
        </w:rPr>
        <w:t xml:space="preserve"> עבור מתקני הפסולת כאמור, יגיש בעל </w:t>
      </w:r>
      <w:r w:rsidR="000564B2">
        <w:rPr>
          <w:rFonts w:ascii="David" w:hAnsi="David" w:cs="David" w:hint="cs"/>
          <w:rtl/>
        </w:rPr>
        <w:t>העסק</w:t>
      </w:r>
      <w:r>
        <w:rPr>
          <w:rFonts w:ascii="David" w:hAnsi="David" w:cs="David" w:hint="cs"/>
          <w:rtl/>
        </w:rPr>
        <w:t xml:space="preserve"> במועדים הקבועים </w:t>
      </w:r>
      <w:r w:rsidR="000564B2">
        <w:rPr>
          <w:rFonts w:ascii="David" w:hAnsi="David" w:cs="David" w:hint="cs"/>
          <w:rtl/>
        </w:rPr>
        <w:t>בתוספת השלישית.</w:t>
      </w:r>
      <w:r>
        <w:rPr>
          <w:rFonts w:ascii="David" w:hAnsi="David" w:cs="David" w:hint="cs"/>
          <w:rtl/>
        </w:rPr>
        <w:t xml:space="preserve"> </w:t>
      </w:r>
    </w:p>
    <w:p w14:paraId="7865ABA4" w14:textId="69CDE909" w:rsidR="00276241" w:rsidRDefault="00276241" w:rsidP="007C36D8">
      <w:pPr>
        <w:pStyle w:val="ListParagraph"/>
        <w:numPr>
          <w:ilvl w:val="1"/>
          <w:numId w:val="1"/>
        </w:numPr>
        <w:spacing w:line="360" w:lineRule="auto"/>
        <w:jc w:val="both"/>
        <w:rPr>
          <w:rFonts w:ascii="David" w:hAnsi="David" w:cs="David"/>
        </w:rPr>
      </w:pPr>
      <w:r>
        <w:rPr>
          <w:rFonts w:ascii="David" w:hAnsi="David" w:cs="David" w:hint="cs"/>
          <w:rtl/>
        </w:rPr>
        <w:t xml:space="preserve">החל מהיום הקובע ועד מועד ההחלטת הממונה לעניין הבקשה להיתר </w:t>
      </w:r>
      <w:r w:rsidR="000564B2">
        <w:rPr>
          <w:rFonts w:ascii="David" w:hAnsi="David" w:cs="David" w:hint="cs"/>
          <w:rtl/>
        </w:rPr>
        <w:t>רעלים</w:t>
      </w:r>
      <w:r>
        <w:rPr>
          <w:rFonts w:ascii="David" w:hAnsi="David" w:cs="David" w:hint="cs"/>
          <w:rtl/>
        </w:rPr>
        <w:t xml:space="preserve">, יראו את האישור הקיים לפי חוק רישוי עסקים כהיתר </w:t>
      </w:r>
      <w:r w:rsidR="000564B2">
        <w:rPr>
          <w:rFonts w:ascii="David" w:hAnsi="David" w:cs="David" w:hint="cs"/>
          <w:rtl/>
        </w:rPr>
        <w:t>רעלים</w:t>
      </w:r>
      <w:r>
        <w:rPr>
          <w:rFonts w:ascii="David" w:hAnsi="David" w:cs="David" w:hint="cs"/>
          <w:rtl/>
        </w:rPr>
        <w:t xml:space="preserve"> אחוד ויחולו לגביו הוראות הדין החדש. עם זאת, בתקופה האמורה, יהיה רשאי הממונה לשנות תנאים באישור הקיים, בהתאם לסמכויותיו לפי הדין הישן </w:t>
      </w:r>
      <w:r w:rsidR="000564B2">
        <w:rPr>
          <w:rFonts w:ascii="David" w:hAnsi="David" w:cs="David" w:hint="cs"/>
          <w:rtl/>
        </w:rPr>
        <w:t>ובכלל זה לפי הוראות סעיף 3(ה) לדין הישן.</w:t>
      </w:r>
    </w:p>
    <w:p w14:paraId="7D9E4C40" w14:textId="3DEC9DC1" w:rsidR="000564B2" w:rsidRPr="005A2E29" w:rsidRDefault="000564B2" w:rsidP="006B5EB9">
      <w:pPr>
        <w:pStyle w:val="ListParagraph"/>
        <w:numPr>
          <w:ilvl w:val="0"/>
          <w:numId w:val="1"/>
        </w:numPr>
        <w:spacing w:line="360" w:lineRule="auto"/>
        <w:jc w:val="both"/>
        <w:rPr>
          <w:rFonts w:ascii="David" w:hAnsi="David" w:cs="David"/>
          <w:rtl/>
        </w:rPr>
      </w:pPr>
      <w:r w:rsidRPr="00016C3E">
        <w:rPr>
          <w:rFonts w:ascii="David" w:hAnsi="David" w:cs="David" w:hint="cs"/>
          <w:b/>
          <w:bCs/>
          <w:rtl/>
        </w:rPr>
        <w:t>תקופת תוקפו של היתר רעלים אחוד</w:t>
      </w:r>
      <w:r>
        <w:rPr>
          <w:rFonts w:ascii="David" w:hAnsi="David" w:cs="David" w:hint="cs"/>
          <w:rtl/>
        </w:rPr>
        <w:t xml:space="preserve"> </w:t>
      </w:r>
      <w:r>
        <w:rPr>
          <w:rFonts w:ascii="David" w:hAnsi="David" w:cs="David"/>
          <w:rtl/>
        </w:rPr>
        <w:t>–</w:t>
      </w:r>
      <w:r>
        <w:rPr>
          <w:rFonts w:ascii="David" w:hAnsi="David" w:cs="David" w:hint="cs"/>
          <w:rtl/>
        </w:rPr>
        <w:t xml:space="preserve"> ככלל, בהתאם לסעיף קטן 3י(א) </w:t>
      </w:r>
      <w:r w:rsidR="00016C3E">
        <w:rPr>
          <w:rFonts w:ascii="David" w:hAnsi="David" w:cs="David" w:hint="cs"/>
          <w:rtl/>
        </w:rPr>
        <w:t>ב</w:t>
      </w:r>
      <w:r>
        <w:rPr>
          <w:rFonts w:ascii="David" w:hAnsi="David" w:cs="David" w:hint="cs"/>
          <w:rtl/>
        </w:rPr>
        <w:t xml:space="preserve">דין החדש היתר רעלים יינתן לתקופה של עשר שנים. על אף האמור, היתר רעלים אחוד ראשון יינתן לתקופה של שבע שנים. </w:t>
      </w:r>
    </w:p>
    <w:p w14:paraId="3E891C57" w14:textId="396CC42A" w:rsidR="00AF6EC6" w:rsidRDefault="000564B2" w:rsidP="006B5EB9">
      <w:pPr>
        <w:pStyle w:val="ListParagraph"/>
        <w:numPr>
          <w:ilvl w:val="0"/>
          <w:numId w:val="1"/>
        </w:numPr>
        <w:spacing w:line="360" w:lineRule="auto"/>
        <w:jc w:val="both"/>
        <w:rPr>
          <w:rFonts w:ascii="David" w:hAnsi="David" w:cs="David"/>
        </w:rPr>
      </w:pPr>
      <w:r>
        <w:rPr>
          <w:rFonts w:ascii="David" w:hAnsi="David" w:cs="David" w:hint="cs"/>
          <w:rtl/>
        </w:rPr>
        <w:t>עסקים שעיסוקם טעון היתר פליטה אחוד לפי חוק אוויר נקי, לא יידרשו להגיש בקשה לחידוש היתר הרעלים שבידם ויחולו בעניינם הוראות חוק אוויר נקי, לפי הענ</w:t>
      </w:r>
      <w:r w:rsidR="00016C3E">
        <w:rPr>
          <w:rFonts w:ascii="David" w:hAnsi="David" w:cs="David" w:hint="cs"/>
          <w:rtl/>
        </w:rPr>
        <w:t>י</w:t>
      </w:r>
      <w:r>
        <w:rPr>
          <w:rFonts w:ascii="David" w:hAnsi="David" w:cs="David" w:hint="cs"/>
          <w:rtl/>
        </w:rPr>
        <w:t xml:space="preserve">ין. </w:t>
      </w:r>
    </w:p>
    <w:p w14:paraId="3057B3C5" w14:textId="77777777" w:rsidR="00D41B9A" w:rsidRDefault="00AF6EC6" w:rsidP="006B5EB9">
      <w:pPr>
        <w:pStyle w:val="ListParagraph"/>
        <w:numPr>
          <w:ilvl w:val="0"/>
          <w:numId w:val="1"/>
        </w:numPr>
        <w:spacing w:line="360" w:lineRule="auto"/>
        <w:jc w:val="both"/>
        <w:rPr>
          <w:rFonts w:ascii="David" w:hAnsi="David" w:cs="David"/>
        </w:rPr>
      </w:pPr>
      <w:r w:rsidRPr="00016C3E">
        <w:rPr>
          <w:rFonts w:ascii="David" w:hAnsi="David" w:cs="David" w:hint="cs"/>
          <w:b/>
          <w:bCs/>
          <w:rtl/>
        </w:rPr>
        <w:t xml:space="preserve">עסקים שהיו טעוני היתר רעלים לפי הדין הישן ואינם טעוני היתר רעלים לפי הדין החדש (עסקי </w:t>
      </w:r>
      <w:r w:rsidRPr="00016C3E">
        <w:rPr>
          <w:rFonts w:ascii="David" w:hAnsi="David" w:cs="David"/>
          <w:b/>
          <w:bCs/>
        </w:rPr>
        <w:t>C</w:t>
      </w:r>
      <w:r w:rsidRPr="00016C3E">
        <w:rPr>
          <w:rFonts w:ascii="David" w:hAnsi="David" w:cs="David" w:hint="cs"/>
          <w:b/>
          <w:bCs/>
          <w:rtl/>
        </w:rPr>
        <w:t>)</w:t>
      </w:r>
      <w:r>
        <w:rPr>
          <w:rFonts w:ascii="David" w:hAnsi="David" w:cs="David" w:hint="cs"/>
          <w:rtl/>
        </w:rPr>
        <w:t xml:space="preserve"> </w:t>
      </w:r>
      <w:r>
        <w:rPr>
          <w:rFonts w:ascii="David" w:hAnsi="David" w:cs="David"/>
          <w:rtl/>
        </w:rPr>
        <w:t>–</w:t>
      </w:r>
      <w:r>
        <w:rPr>
          <w:rFonts w:ascii="David" w:hAnsi="David" w:cs="David" w:hint="cs"/>
          <w:rtl/>
        </w:rPr>
        <w:t xml:space="preserve"> </w:t>
      </w:r>
    </w:p>
    <w:p w14:paraId="1972079D" w14:textId="657D9E32" w:rsidR="00AF6EC6" w:rsidRDefault="00AF6EC6" w:rsidP="006B5EB9">
      <w:pPr>
        <w:pStyle w:val="ListParagraph"/>
        <w:numPr>
          <w:ilvl w:val="1"/>
          <w:numId w:val="1"/>
        </w:numPr>
        <w:spacing w:line="360" w:lineRule="auto"/>
        <w:jc w:val="both"/>
        <w:rPr>
          <w:rFonts w:ascii="David" w:hAnsi="David" w:cs="David"/>
        </w:rPr>
      </w:pPr>
      <w:r>
        <w:rPr>
          <w:rFonts w:ascii="David" w:hAnsi="David" w:cs="David" w:hint="cs"/>
          <w:rtl/>
        </w:rPr>
        <w:t xml:space="preserve">בהתאם לסעיף קטן 24(א), </w:t>
      </w:r>
      <w:r w:rsidR="00CC6B83" w:rsidRPr="00AF6EC6">
        <w:rPr>
          <w:rFonts w:ascii="David" w:hAnsi="David" w:cs="David" w:hint="cs"/>
          <w:rtl/>
        </w:rPr>
        <w:t>עיסוק</w:t>
      </w:r>
      <w:r w:rsidR="00CC6B83" w:rsidRPr="00AF6EC6">
        <w:rPr>
          <w:rFonts w:ascii="David" w:hAnsi="David" w:cs="David"/>
          <w:rtl/>
        </w:rPr>
        <w:t xml:space="preserve"> </w:t>
      </w:r>
      <w:r w:rsidR="00CC6B83" w:rsidRPr="00AF6EC6">
        <w:rPr>
          <w:rFonts w:ascii="David" w:hAnsi="David" w:cs="David" w:hint="cs"/>
          <w:rtl/>
        </w:rPr>
        <w:t>ברעלים</w:t>
      </w:r>
      <w:r w:rsidR="00CC6B83" w:rsidRPr="00AF6EC6">
        <w:rPr>
          <w:rFonts w:ascii="David" w:hAnsi="David" w:cs="David"/>
          <w:rtl/>
        </w:rPr>
        <w:t xml:space="preserve"> </w:t>
      </w:r>
      <w:r w:rsidR="00CC6B83" w:rsidRPr="00AF6EC6">
        <w:rPr>
          <w:rFonts w:ascii="David" w:hAnsi="David" w:cs="David" w:hint="cs"/>
          <w:rtl/>
        </w:rPr>
        <w:t>שהיה</w:t>
      </w:r>
      <w:r w:rsidR="00CC6B83" w:rsidRPr="00AF6EC6">
        <w:rPr>
          <w:rFonts w:ascii="David" w:hAnsi="David" w:cs="David"/>
          <w:rtl/>
        </w:rPr>
        <w:t xml:space="preserve"> </w:t>
      </w:r>
      <w:r w:rsidR="00CC6B83" w:rsidRPr="00AF6EC6">
        <w:rPr>
          <w:rFonts w:ascii="David" w:hAnsi="David" w:cs="David" w:hint="cs"/>
          <w:rtl/>
        </w:rPr>
        <w:t>טעון</w:t>
      </w:r>
      <w:r w:rsidR="00CC6B83" w:rsidRPr="00AF6EC6">
        <w:rPr>
          <w:rFonts w:ascii="David" w:hAnsi="David" w:cs="David"/>
          <w:rtl/>
        </w:rPr>
        <w:t xml:space="preserve"> </w:t>
      </w:r>
      <w:r w:rsidR="00CC6B83" w:rsidRPr="00AF6EC6">
        <w:rPr>
          <w:rFonts w:ascii="David" w:hAnsi="David" w:cs="David" w:hint="cs"/>
          <w:rtl/>
        </w:rPr>
        <w:t>היתר</w:t>
      </w:r>
      <w:r w:rsidR="00CC6B83" w:rsidRPr="00AF6EC6">
        <w:rPr>
          <w:rFonts w:ascii="David" w:hAnsi="David" w:cs="David"/>
          <w:rtl/>
        </w:rPr>
        <w:t xml:space="preserve"> </w:t>
      </w:r>
      <w:r w:rsidR="00CC6B83" w:rsidRPr="00AF6EC6">
        <w:rPr>
          <w:rFonts w:ascii="David" w:hAnsi="David" w:cs="David" w:hint="cs"/>
          <w:rtl/>
        </w:rPr>
        <w:t>לפי</w:t>
      </w:r>
      <w:r w:rsidR="00CC6B83" w:rsidRPr="00AF6EC6">
        <w:rPr>
          <w:rFonts w:ascii="David" w:hAnsi="David" w:cs="David"/>
          <w:rtl/>
        </w:rPr>
        <w:t xml:space="preserve"> </w:t>
      </w:r>
      <w:r w:rsidR="00CC6B83" w:rsidRPr="00AF6EC6">
        <w:rPr>
          <w:rFonts w:ascii="David" w:hAnsi="David" w:cs="David" w:hint="cs"/>
          <w:rtl/>
        </w:rPr>
        <w:t>הדין</w:t>
      </w:r>
      <w:r w:rsidR="00CC6B83" w:rsidRPr="00AF6EC6">
        <w:rPr>
          <w:rFonts w:ascii="David" w:hAnsi="David" w:cs="David"/>
          <w:rtl/>
        </w:rPr>
        <w:t xml:space="preserve"> </w:t>
      </w:r>
      <w:r w:rsidR="00CC6B83" w:rsidRPr="00AF6EC6">
        <w:rPr>
          <w:rFonts w:ascii="David" w:hAnsi="David" w:cs="David" w:hint="cs"/>
          <w:rtl/>
        </w:rPr>
        <w:t>הישן</w:t>
      </w:r>
      <w:r w:rsidR="00CC6B83" w:rsidRPr="00AF6EC6">
        <w:rPr>
          <w:rFonts w:ascii="David" w:hAnsi="David" w:cs="David"/>
          <w:rtl/>
        </w:rPr>
        <w:t xml:space="preserve">, </w:t>
      </w:r>
      <w:r w:rsidR="00CC6B83" w:rsidRPr="00AF6EC6">
        <w:rPr>
          <w:rFonts w:ascii="David" w:hAnsi="David" w:cs="David" w:hint="cs"/>
          <w:rtl/>
        </w:rPr>
        <w:t>ובכלל</w:t>
      </w:r>
      <w:r w:rsidR="00CC6B83" w:rsidRPr="00AF6EC6">
        <w:rPr>
          <w:rFonts w:ascii="David" w:hAnsi="David" w:cs="David"/>
          <w:rtl/>
        </w:rPr>
        <w:t xml:space="preserve"> </w:t>
      </w:r>
      <w:r w:rsidR="00CC6B83" w:rsidRPr="00AF6EC6">
        <w:rPr>
          <w:rFonts w:ascii="David" w:hAnsi="David" w:cs="David" w:hint="cs"/>
          <w:rtl/>
        </w:rPr>
        <w:t>זה</w:t>
      </w:r>
      <w:r w:rsidR="00CC6B83" w:rsidRPr="00AF6EC6">
        <w:rPr>
          <w:rFonts w:ascii="David" w:hAnsi="David" w:cs="David"/>
          <w:rtl/>
        </w:rPr>
        <w:t xml:space="preserve"> </w:t>
      </w:r>
      <w:r w:rsidR="00CC6B83" w:rsidRPr="00AF6EC6">
        <w:rPr>
          <w:rFonts w:ascii="David" w:hAnsi="David" w:cs="David" w:hint="cs"/>
          <w:rtl/>
        </w:rPr>
        <w:t>לפי</w:t>
      </w:r>
      <w:r w:rsidR="00CC6B83" w:rsidRPr="00AF6EC6">
        <w:rPr>
          <w:rFonts w:ascii="David" w:hAnsi="David" w:cs="David"/>
          <w:rtl/>
        </w:rPr>
        <w:t xml:space="preserve"> </w:t>
      </w:r>
      <w:r w:rsidR="006B5EB9">
        <w:rPr>
          <w:rFonts w:ascii="David" w:hAnsi="David" w:cs="David" w:hint="cs"/>
          <w:rtl/>
        </w:rPr>
        <w:t>הס</w:t>
      </w:r>
      <w:r w:rsidR="00016C3E">
        <w:rPr>
          <w:rFonts w:ascii="David" w:hAnsi="David" w:cs="David" w:hint="cs"/>
          <w:rtl/>
        </w:rPr>
        <w:t>י</w:t>
      </w:r>
      <w:r w:rsidR="006B5EB9">
        <w:rPr>
          <w:rFonts w:ascii="David" w:hAnsi="David" w:cs="David" w:hint="cs"/>
          <w:rtl/>
        </w:rPr>
        <w:t>פים הקבועים ב</w:t>
      </w:r>
      <w:r w:rsidR="00CC6B83" w:rsidRPr="00AF6EC6">
        <w:rPr>
          <w:rFonts w:ascii="David" w:hAnsi="David" w:cs="David" w:hint="cs"/>
          <w:rtl/>
        </w:rPr>
        <w:t>תקנות</w:t>
      </w:r>
      <w:r w:rsidR="00CC6B83" w:rsidRPr="00AF6EC6">
        <w:rPr>
          <w:rFonts w:ascii="David" w:hAnsi="David" w:cs="David"/>
          <w:rtl/>
        </w:rPr>
        <w:t xml:space="preserve"> </w:t>
      </w:r>
      <w:r w:rsidR="00CC6B83" w:rsidRPr="00AF6EC6">
        <w:rPr>
          <w:rFonts w:ascii="David" w:hAnsi="David" w:cs="David" w:hint="cs"/>
          <w:rtl/>
        </w:rPr>
        <w:t>החומרים</w:t>
      </w:r>
      <w:r w:rsidR="00CC6B83" w:rsidRPr="00AF6EC6">
        <w:rPr>
          <w:rFonts w:ascii="David" w:hAnsi="David" w:cs="David"/>
          <w:rtl/>
        </w:rPr>
        <w:t xml:space="preserve"> </w:t>
      </w:r>
      <w:r w:rsidR="00CC6B83" w:rsidRPr="00AF6EC6">
        <w:rPr>
          <w:rFonts w:ascii="David" w:hAnsi="David" w:cs="David" w:hint="cs"/>
          <w:rtl/>
        </w:rPr>
        <w:t>המסוכנים</w:t>
      </w:r>
      <w:r w:rsidR="00CC6B83" w:rsidRPr="00AF6EC6">
        <w:rPr>
          <w:rFonts w:ascii="David" w:hAnsi="David" w:cs="David"/>
          <w:rtl/>
        </w:rPr>
        <w:t xml:space="preserve"> (</w:t>
      </w:r>
      <w:r w:rsidR="00CC6B83" w:rsidRPr="00AF6EC6">
        <w:rPr>
          <w:rFonts w:ascii="David" w:hAnsi="David" w:cs="David" w:hint="cs"/>
          <w:rtl/>
        </w:rPr>
        <w:t>סיווג</w:t>
      </w:r>
      <w:r w:rsidR="00CC6B83" w:rsidRPr="00AF6EC6">
        <w:rPr>
          <w:rFonts w:ascii="David" w:hAnsi="David" w:cs="David"/>
          <w:rtl/>
        </w:rPr>
        <w:t xml:space="preserve"> </w:t>
      </w:r>
      <w:r w:rsidR="00CC6B83" w:rsidRPr="00AF6EC6">
        <w:rPr>
          <w:rFonts w:ascii="David" w:hAnsi="David" w:cs="David" w:hint="cs"/>
          <w:rtl/>
        </w:rPr>
        <w:t>ופטור</w:t>
      </w:r>
      <w:r w:rsidR="00CC6B83" w:rsidRPr="00AF6EC6">
        <w:rPr>
          <w:rFonts w:ascii="David" w:hAnsi="David" w:cs="David"/>
          <w:rtl/>
        </w:rPr>
        <w:t xml:space="preserve">), </w:t>
      </w:r>
      <w:r w:rsidR="00CC6B83" w:rsidRPr="00AF6EC6">
        <w:rPr>
          <w:rFonts w:ascii="David" w:hAnsi="David" w:cs="David" w:hint="cs"/>
          <w:rtl/>
        </w:rPr>
        <w:t>תשנ</w:t>
      </w:r>
      <w:r w:rsidR="00CC6B83" w:rsidRPr="00AF6EC6">
        <w:rPr>
          <w:rFonts w:ascii="David" w:hAnsi="David" w:cs="David"/>
          <w:rtl/>
        </w:rPr>
        <w:t>"</w:t>
      </w:r>
      <w:r w:rsidR="00CC6B83" w:rsidRPr="00AF6EC6">
        <w:rPr>
          <w:rFonts w:ascii="David" w:hAnsi="David" w:cs="David" w:hint="cs"/>
          <w:rtl/>
        </w:rPr>
        <w:t>ו</w:t>
      </w:r>
      <w:r w:rsidR="00CC6B83" w:rsidRPr="00AF6EC6">
        <w:rPr>
          <w:rFonts w:ascii="David" w:hAnsi="David" w:cs="David"/>
          <w:rtl/>
        </w:rPr>
        <w:t xml:space="preserve">-1996, </w:t>
      </w:r>
      <w:r w:rsidR="00CC6B83" w:rsidRPr="00AF6EC6">
        <w:rPr>
          <w:rFonts w:ascii="David" w:hAnsi="David" w:cs="David" w:hint="cs"/>
          <w:rtl/>
        </w:rPr>
        <w:t>אך</w:t>
      </w:r>
      <w:r w:rsidR="00CC6B83" w:rsidRPr="00AF6EC6">
        <w:rPr>
          <w:rFonts w:ascii="David" w:hAnsi="David" w:cs="David"/>
          <w:rtl/>
        </w:rPr>
        <w:t xml:space="preserve"> </w:t>
      </w:r>
      <w:r w:rsidR="00CC6B83" w:rsidRPr="00AF6EC6">
        <w:rPr>
          <w:rFonts w:ascii="David" w:hAnsi="David" w:cs="David" w:hint="cs"/>
          <w:rtl/>
        </w:rPr>
        <w:t>אינו</w:t>
      </w:r>
      <w:r w:rsidR="00CC6B83" w:rsidRPr="00AF6EC6">
        <w:rPr>
          <w:rFonts w:ascii="David" w:hAnsi="David" w:cs="David"/>
          <w:rtl/>
        </w:rPr>
        <w:t xml:space="preserve"> </w:t>
      </w:r>
      <w:r w:rsidR="00CC6B83" w:rsidRPr="00AF6EC6">
        <w:rPr>
          <w:rFonts w:ascii="David" w:hAnsi="David" w:cs="David" w:hint="cs"/>
          <w:rtl/>
        </w:rPr>
        <w:t>טעון</w:t>
      </w:r>
      <w:r w:rsidR="00CC6B83" w:rsidRPr="00AF6EC6">
        <w:rPr>
          <w:rFonts w:ascii="David" w:hAnsi="David" w:cs="David"/>
          <w:rtl/>
        </w:rPr>
        <w:t xml:space="preserve"> </w:t>
      </w:r>
      <w:r w:rsidR="00CC6B83" w:rsidRPr="00AF6EC6">
        <w:rPr>
          <w:rFonts w:ascii="David" w:hAnsi="David" w:cs="David" w:hint="cs"/>
          <w:rtl/>
        </w:rPr>
        <w:t>היתר</w:t>
      </w:r>
      <w:r>
        <w:rPr>
          <w:rFonts w:ascii="David" w:hAnsi="David" w:cs="David" w:hint="cs"/>
          <w:rtl/>
        </w:rPr>
        <w:t xml:space="preserve"> רעלים</w:t>
      </w:r>
      <w:r w:rsidR="00CC6B83" w:rsidRPr="00AF6EC6">
        <w:rPr>
          <w:rFonts w:ascii="David" w:hAnsi="David" w:cs="David"/>
          <w:rtl/>
        </w:rPr>
        <w:t xml:space="preserve"> </w:t>
      </w:r>
      <w:r w:rsidR="00CC6B83" w:rsidRPr="00AF6EC6">
        <w:rPr>
          <w:rFonts w:ascii="David" w:hAnsi="David" w:cs="David" w:hint="cs"/>
          <w:rtl/>
        </w:rPr>
        <w:t>לפי</w:t>
      </w:r>
      <w:r w:rsidR="00CC6B83" w:rsidRPr="00AF6EC6">
        <w:rPr>
          <w:rFonts w:ascii="David" w:hAnsi="David" w:cs="David"/>
          <w:rtl/>
        </w:rPr>
        <w:t xml:space="preserve"> </w:t>
      </w:r>
      <w:r w:rsidR="00CC6B83" w:rsidRPr="00AF6EC6">
        <w:rPr>
          <w:rFonts w:ascii="David" w:hAnsi="David" w:cs="David" w:hint="cs"/>
          <w:rtl/>
        </w:rPr>
        <w:t>הדין</w:t>
      </w:r>
      <w:r w:rsidR="00CC6B83" w:rsidRPr="00AF6EC6">
        <w:rPr>
          <w:rFonts w:ascii="David" w:hAnsi="David" w:cs="David"/>
          <w:rtl/>
        </w:rPr>
        <w:t xml:space="preserve"> </w:t>
      </w:r>
      <w:r w:rsidR="00CC6B83" w:rsidRPr="00AF6EC6">
        <w:rPr>
          <w:rFonts w:ascii="David" w:hAnsi="David" w:cs="David" w:hint="cs"/>
          <w:rtl/>
        </w:rPr>
        <w:t>החדש</w:t>
      </w:r>
      <w:r w:rsidR="006B5EB9">
        <w:rPr>
          <w:rFonts w:ascii="David" w:hAnsi="David" w:cs="David" w:hint="cs"/>
          <w:rtl/>
        </w:rPr>
        <w:t xml:space="preserve"> (בהתאם לס</w:t>
      </w:r>
      <w:r w:rsidR="00016C3E">
        <w:rPr>
          <w:rFonts w:ascii="David" w:hAnsi="David" w:cs="David" w:hint="cs"/>
          <w:rtl/>
        </w:rPr>
        <w:t>י</w:t>
      </w:r>
      <w:r w:rsidR="006B5EB9">
        <w:rPr>
          <w:rFonts w:ascii="David" w:hAnsi="David" w:cs="David" w:hint="cs"/>
          <w:rtl/>
        </w:rPr>
        <w:t>פים הקבועים בתוספת השלישית)</w:t>
      </w:r>
      <w:r w:rsidR="00CC6B83" w:rsidRPr="00AF6EC6">
        <w:rPr>
          <w:rFonts w:ascii="David" w:hAnsi="David" w:cs="David"/>
          <w:rtl/>
        </w:rPr>
        <w:t xml:space="preserve">, </w:t>
      </w:r>
      <w:r w:rsidR="00CC6B83" w:rsidRPr="00AF6EC6">
        <w:rPr>
          <w:rFonts w:ascii="David" w:hAnsi="David" w:cs="David" w:hint="cs"/>
          <w:rtl/>
        </w:rPr>
        <w:t>יוסיף</w:t>
      </w:r>
      <w:r w:rsidR="00CC6B83" w:rsidRPr="00AF6EC6">
        <w:rPr>
          <w:rFonts w:ascii="David" w:hAnsi="David" w:cs="David"/>
          <w:rtl/>
        </w:rPr>
        <w:t xml:space="preserve"> </w:t>
      </w:r>
      <w:r w:rsidR="00CC6B83" w:rsidRPr="00AF6EC6">
        <w:rPr>
          <w:rFonts w:ascii="David" w:hAnsi="David" w:cs="David" w:hint="cs"/>
          <w:rtl/>
        </w:rPr>
        <w:t>להיות</w:t>
      </w:r>
      <w:r w:rsidR="00CC6B83" w:rsidRPr="00AF6EC6">
        <w:rPr>
          <w:rFonts w:ascii="David" w:hAnsi="David" w:cs="David"/>
          <w:rtl/>
        </w:rPr>
        <w:t xml:space="preserve"> </w:t>
      </w:r>
      <w:r w:rsidR="00CC6B83" w:rsidRPr="00AF6EC6">
        <w:rPr>
          <w:rFonts w:ascii="David" w:hAnsi="David" w:cs="David" w:hint="cs"/>
          <w:rtl/>
        </w:rPr>
        <w:t>טעון</w:t>
      </w:r>
      <w:r w:rsidR="00CC6B83" w:rsidRPr="00AF6EC6">
        <w:rPr>
          <w:rFonts w:ascii="David" w:hAnsi="David" w:cs="David"/>
          <w:rtl/>
        </w:rPr>
        <w:t xml:space="preserve"> </w:t>
      </w:r>
      <w:r w:rsidR="00CC6B83" w:rsidRPr="00AF6EC6">
        <w:rPr>
          <w:rFonts w:ascii="David" w:hAnsi="David" w:cs="David" w:hint="cs"/>
          <w:rtl/>
        </w:rPr>
        <w:t>היתר</w:t>
      </w:r>
      <w:r w:rsidR="00CC6B83" w:rsidRPr="00AF6EC6">
        <w:rPr>
          <w:rFonts w:ascii="David" w:hAnsi="David" w:cs="David"/>
          <w:rtl/>
        </w:rPr>
        <w:t xml:space="preserve"> </w:t>
      </w:r>
      <w:r w:rsidR="00CC6B83" w:rsidRPr="00AF6EC6">
        <w:rPr>
          <w:rFonts w:ascii="David" w:hAnsi="David" w:cs="David" w:hint="cs"/>
          <w:rtl/>
        </w:rPr>
        <w:t>רעלים</w:t>
      </w:r>
      <w:r w:rsidR="00CC6B83" w:rsidRPr="00AF6EC6">
        <w:rPr>
          <w:rFonts w:ascii="David" w:hAnsi="David" w:cs="David"/>
          <w:rtl/>
        </w:rPr>
        <w:t xml:space="preserve"> </w:t>
      </w:r>
      <w:r w:rsidR="00CC6B83" w:rsidRPr="00AF6EC6">
        <w:rPr>
          <w:rFonts w:ascii="David" w:hAnsi="David" w:cs="David" w:hint="cs"/>
          <w:rtl/>
        </w:rPr>
        <w:t>מיום</w:t>
      </w:r>
      <w:r w:rsidR="00CC6B83" w:rsidRPr="00AF6EC6">
        <w:rPr>
          <w:rFonts w:ascii="David" w:hAnsi="David" w:cs="David"/>
          <w:rtl/>
        </w:rPr>
        <w:t xml:space="preserve"> </w:t>
      </w:r>
      <w:r w:rsidR="00CC6B83" w:rsidRPr="00AF6EC6">
        <w:rPr>
          <w:rFonts w:ascii="David" w:hAnsi="David" w:cs="David" w:hint="cs"/>
          <w:rtl/>
        </w:rPr>
        <w:t>התחילה</w:t>
      </w:r>
      <w:r w:rsidR="00CC6B83" w:rsidRPr="00AF6EC6">
        <w:rPr>
          <w:rFonts w:ascii="David" w:hAnsi="David" w:cs="David"/>
          <w:rtl/>
        </w:rPr>
        <w:t xml:space="preserve"> (01.09.24) </w:t>
      </w:r>
      <w:r w:rsidR="00CC6B83" w:rsidRPr="00AF6EC6">
        <w:rPr>
          <w:rFonts w:ascii="David" w:hAnsi="David" w:cs="David" w:hint="cs"/>
          <w:rtl/>
        </w:rPr>
        <w:t>ועד</w:t>
      </w:r>
      <w:r w:rsidR="00CC6B83" w:rsidRPr="00AF6EC6">
        <w:rPr>
          <w:rFonts w:ascii="David" w:hAnsi="David" w:cs="David"/>
          <w:rtl/>
        </w:rPr>
        <w:t xml:space="preserve"> </w:t>
      </w:r>
      <w:r w:rsidR="00CC6B83" w:rsidRPr="00AF6EC6">
        <w:rPr>
          <w:rFonts w:ascii="David" w:hAnsi="David" w:cs="David" w:hint="cs"/>
          <w:rtl/>
        </w:rPr>
        <w:t>ש</w:t>
      </w:r>
      <w:r w:rsidR="006B5EB9">
        <w:rPr>
          <w:rFonts w:ascii="David" w:hAnsi="David" w:cs="David" w:hint="cs"/>
          <w:rtl/>
        </w:rPr>
        <w:t xml:space="preserve">השר </w:t>
      </w:r>
      <w:r w:rsidR="00CC6B83" w:rsidRPr="00AF6EC6">
        <w:rPr>
          <w:rFonts w:ascii="David" w:hAnsi="David" w:cs="David" w:hint="cs"/>
          <w:rtl/>
        </w:rPr>
        <w:t>יקבע</w:t>
      </w:r>
      <w:r w:rsidR="00CC6B83" w:rsidRPr="00AF6EC6">
        <w:rPr>
          <w:rFonts w:ascii="David" w:hAnsi="David" w:cs="David"/>
          <w:rtl/>
        </w:rPr>
        <w:t xml:space="preserve"> </w:t>
      </w:r>
      <w:r>
        <w:rPr>
          <w:rFonts w:ascii="David" w:hAnsi="David" w:cs="David" w:hint="cs"/>
          <w:rtl/>
        </w:rPr>
        <w:t xml:space="preserve">בתקנות, הוראות לעניין אותו עיסוק לשם הגנה על בריאות הציבור והסביבה </w:t>
      </w:r>
      <w:r w:rsidR="006B5EB9">
        <w:rPr>
          <w:rFonts w:ascii="David" w:hAnsi="David" w:cs="David" w:hint="cs"/>
          <w:rtl/>
        </w:rPr>
        <w:t>ו</w:t>
      </w:r>
      <w:r>
        <w:rPr>
          <w:rFonts w:ascii="David" w:hAnsi="David" w:cs="David" w:hint="cs"/>
          <w:rtl/>
        </w:rPr>
        <w:t>כי העיסוק פטור מהיתר רעלים</w:t>
      </w:r>
      <w:r w:rsidR="00CC6B83" w:rsidRPr="00AF6EC6">
        <w:rPr>
          <w:rFonts w:ascii="David" w:hAnsi="David" w:cs="David"/>
          <w:rtl/>
        </w:rPr>
        <w:t xml:space="preserve">. </w:t>
      </w:r>
      <w:r>
        <w:rPr>
          <w:rFonts w:ascii="David" w:hAnsi="David" w:cs="David" w:hint="cs"/>
          <w:rtl/>
        </w:rPr>
        <w:t>תקופה זו הוגדרה כתקופת מעבר לעני</w:t>
      </w:r>
      <w:r w:rsidR="006B5EB9">
        <w:rPr>
          <w:rFonts w:ascii="David" w:hAnsi="David" w:cs="David" w:hint="cs"/>
          <w:rtl/>
        </w:rPr>
        <w:t>י</w:t>
      </w:r>
      <w:r>
        <w:rPr>
          <w:rFonts w:ascii="David" w:hAnsi="David" w:cs="David" w:hint="cs"/>
          <w:rtl/>
        </w:rPr>
        <w:t xml:space="preserve">ן עיסוק. </w:t>
      </w:r>
    </w:p>
    <w:p w14:paraId="1FA973AE" w14:textId="05A37DF0" w:rsidR="00AF6EC6" w:rsidRDefault="00AF6EC6" w:rsidP="006B5EB9">
      <w:pPr>
        <w:pStyle w:val="ListParagraph"/>
        <w:numPr>
          <w:ilvl w:val="1"/>
          <w:numId w:val="1"/>
        </w:numPr>
        <w:spacing w:line="360" w:lineRule="auto"/>
        <w:jc w:val="both"/>
        <w:rPr>
          <w:rFonts w:ascii="David" w:hAnsi="David" w:cs="David"/>
        </w:rPr>
      </w:pPr>
      <w:r>
        <w:rPr>
          <w:rFonts w:ascii="David" w:hAnsi="David" w:cs="David" w:hint="cs"/>
          <w:rtl/>
        </w:rPr>
        <w:t>בתקופת המעבר לעני</w:t>
      </w:r>
      <w:r w:rsidR="006B5EB9">
        <w:rPr>
          <w:rFonts w:ascii="David" w:hAnsi="David" w:cs="David" w:hint="cs"/>
          <w:rtl/>
        </w:rPr>
        <w:t>י</w:t>
      </w:r>
      <w:r>
        <w:rPr>
          <w:rFonts w:ascii="David" w:hAnsi="David" w:cs="David" w:hint="cs"/>
          <w:rtl/>
        </w:rPr>
        <w:t>ן עיסוק יחולו הוראות הדין הישן בשינויים שלהלן:</w:t>
      </w:r>
    </w:p>
    <w:p w14:paraId="6FA2451B" w14:textId="47744AC4" w:rsidR="00AF6EC6" w:rsidRDefault="00AF6EC6" w:rsidP="00EB7D4A">
      <w:pPr>
        <w:pStyle w:val="ListParagraph"/>
        <w:numPr>
          <w:ilvl w:val="2"/>
          <w:numId w:val="2"/>
        </w:numPr>
        <w:spacing w:line="360" w:lineRule="auto"/>
        <w:jc w:val="both"/>
        <w:rPr>
          <w:rFonts w:ascii="David" w:hAnsi="David" w:cs="David"/>
        </w:rPr>
      </w:pPr>
      <w:r>
        <w:rPr>
          <w:rFonts w:ascii="David" w:hAnsi="David" w:cs="David" w:hint="cs"/>
          <w:rtl/>
        </w:rPr>
        <w:t xml:space="preserve">על אף האמור בסעיף 3(ד) </w:t>
      </w:r>
      <w:r w:rsidR="00016C3E">
        <w:rPr>
          <w:rFonts w:ascii="David" w:hAnsi="David" w:cs="David" w:hint="cs"/>
          <w:rtl/>
        </w:rPr>
        <w:t>ב</w:t>
      </w:r>
      <w:r>
        <w:rPr>
          <w:rFonts w:ascii="David" w:hAnsi="David" w:cs="David" w:hint="cs"/>
          <w:rtl/>
        </w:rPr>
        <w:t xml:space="preserve">דין הישן שעניינו </w:t>
      </w:r>
      <w:r w:rsidR="006B5EB9">
        <w:rPr>
          <w:rFonts w:ascii="David" w:hAnsi="David" w:cs="David" w:hint="cs"/>
          <w:rtl/>
        </w:rPr>
        <w:t>תקופת ה</w:t>
      </w:r>
      <w:r>
        <w:rPr>
          <w:rFonts w:ascii="David" w:hAnsi="David" w:cs="David" w:hint="cs"/>
          <w:rtl/>
        </w:rPr>
        <w:t xml:space="preserve">תוקף </w:t>
      </w:r>
      <w:r w:rsidR="006B5EB9">
        <w:rPr>
          <w:rFonts w:ascii="David" w:hAnsi="David" w:cs="David" w:hint="cs"/>
          <w:rtl/>
        </w:rPr>
        <w:t xml:space="preserve">של </w:t>
      </w:r>
      <w:r>
        <w:rPr>
          <w:rFonts w:ascii="David" w:hAnsi="David" w:cs="David" w:hint="cs"/>
          <w:rtl/>
        </w:rPr>
        <w:t xml:space="preserve">היתרי רעלים, יעמוד היתר הרעלים בתוקף עד תום תקופת המעבר לעיסוק או עד להחלטת הממונה בבקשה לחידוש היתר רעלים כמפורט בסעיף קטן 24(א)(2). </w:t>
      </w:r>
    </w:p>
    <w:p w14:paraId="73726AF5" w14:textId="24A988FE" w:rsidR="00AF6EC6" w:rsidRDefault="00AF6EC6" w:rsidP="00EB7D4A">
      <w:pPr>
        <w:pStyle w:val="ListParagraph"/>
        <w:numPr>
          <w:ilvl w:val="2"/>
          <w:numId w:val="2"/>
        </w:numPr>
        <w:spacing w:line="360" w:lineRule="auto"/>
        <w:jc w:val="both"/>
        <w:rPr>
          <w:rFonts w:ascii="David" w:hAnsi="David" w:cs="David"/>
        </w:rPr>
      </w:pPr>
      <w:r>
        <w:rPr>
          <w:rFonts w:ascii="David" w:hAnsi="David" w:cs="David" w:hint="cs"/>
          <w:rtl/>
        </w:rPr>
        <w:t xml:space="preserve">בסעיף 24(א)(2) נקבע כי אם לא הותקנו תקנות, וחלפו שבע שנים מיום התחילה או מיום קבלת היתר הרעלים, לפי המאוחר, יעמוד היתר הרעלים בתוקף שנתיים נוספות ובלבד שהוגשה עד תום השנה הראשונה מהן בקשה לחידוש היתר לפי הוראות הדין הישן. </w:t>
      </w:r>
      <w:r w:rsidR="00D41B9A">
        <w:rPr>
          <w:rFonts w:ascii="David" w:hAnsi="David" w:cs="David" w:hint="cs"/>
          <w:rtl/>
        </w:rPr>
        <w:t>על הגשת הבקשה יחולו הוראו</w:t>
      </w:r>
      <w:r w:rsidR="00016C3E">
        <w:rPr>
          <w:rFonts w:ascii="David" w:hAnsi="David" w:cs="David" w:hint="cs"/>
          <w:rtl/>
        </w:rPr>
        <w:t>ת</w:t>
      </w:r>
      <w:r w:rsidR="00D41B9A">
        <w:rPr>
          <w:rFonts w:ascii="David" w:hAnsi="David" w:cs="David" w:hint="cs"/>
          <w:rtl/>
        </w:rPr>
        <w:t xml:space="preserve"> סעיף 4א </w:t>
      </w:r>
      <w:r w:rsidR="00016C3E">
        <w:rPr>
          <w:rFonts w:ascii="David" w:hAnsi="David" w:cs="David" w:hint="cs"/>
          <w:rtl/>
        </w:rPr>
        <w:t>ב</w:t>
      </w:r>
      <w:r w:rsidR="00D41B9A">
        <w:rPr>
          <w:rFonts w:ascii="David" w:hAnsi="David" w:cs="David" w:hint="cs"/>
          <w:rtl/>
        </w:rPr>
        <w:t>דין החדש.</w:t>
      </w:r>
    </w:p>
    <w:p w14:paraId="2271639F" w14:textId="16F93D6F" w:rsidR="00D41B9A" w:rsidRDefault="00D41B9A" w:rsidP="00EB7D4A">
      <w:pPr>
        <w:pStyle w:val="ListParagraph"/>
        <w:numPr>
          <w:ilvl w:val="2"/>
          <w:numId w:val="2"/>
        </w:numPr>
        <w:spacing w:line="360" w:lineRule="auto"/>
        <w:jc w:val="both"/>
        <w:rPr>
          <w:rFonts w:ascii="David" w:hAnsi="David" w:cs="David"/>
        </w:rPr>
      </w:pPr>
      <w:r>
        <w:rPr>
          <w:rFonts w:ascii="David" w:hAnsi="David" w:cs="David" w:hint="cs"/>
          <w:rtl/>
        </w:rPr>
        <w:lastRenderedPageBreak/>
        <w:t xml:space="preserve">בעל היתר רעלים רשאי להעביר את ההיתר לאדם אחר, ובלבד שניתן לכך אישור הממונה </w:t>
      </w:r>
      <w:r w:rsidRPr="00016C3E">
        <w:rPr>
          <w:rFonts w:ascii="David" w:hAnsi="David" w:cs="David" w:hint="cs"/>
          <w:b/>
          <w:bCs/>
          <w:rtl/>
        </w:rPr>
        <w:t>מראש</w:t>
      </w:r>
      <w:r w:rsidRPr="00016C3E">
        <w:rPr>
          <w:rFonts w:ascii="David" w:hAnsi="David" w:cs="David"/>
          <w:b/>
          <w:bCs/>
          <w:rtl/>
        </w:rPr>
        <w:t xml:space="preserve"> </w:t>
      </w:r>
      <w:r w:rsidRPr="00016C3E">
        <w:rPr>
          <w:rFonts w:ascii="David" w:hAnsi="David" w:cs="David" w:hint="cs"/>
          <w:b/>
          <w:bCs/>
          <w:rtl/>
        </w:rPr>
        <w:t>ובכתב</w:t>
      </w:r>
      <w:r>
        <w:rPr>
          <w:rFonts w:ascii="David" w:hAnsi="David" w:cs="David" w:hint="cs"/>
          <w:rtl/>
        </w:rPr>
        <w:t>, הכ</w:t>
      </w:r>
      <w:r w:rsidR="00016C3E">
        <w:rPr>
          <w:rFonts w:ascii="David" w:hAnsi="David" w:cs="David" w:hint="cs"/>
          <w:rtl/>
        </w:rPr>
        <w:t>ו</w:t>
      </w:r>
      <w:r>
        <w:rPr>
          <w:rFonts w:ascii="David" w:hAnsi="David" w:cs="David" w:hint="cs"/>
          <w:rtl/>
        </w:rPr>
        <w:t>ל כמפורט בסעיף קטן 24(א)(3).</w:t>
      </w:r>
    </w:p>
    <w:p w14:paraId="391124C0" w14:textId="59EDE76B" w:rsidR="00AF6EC6" w:rsidRPr="00D41B9A" w:rsidRDefault="00D41B9A" w:rsidP="00EB7D4A">
      <w:pPr>
        <w:pStyle w:val="ListParagraph"/>
        <w:numPr>
          <w:ilvl w:val="2"/>
          <w:numId w:val="2"/>
        </w:numPr>
        <w:spacing w:line="360" w:lineRule="auto"/>
        <w:jc w:val="both"/>
        <w:rPr>
          <w:rFonts w:ascii="David" w:hAnsi="David" w:cs="David"/>
        </w:rPr>
      </w:pPr>
      <w:r>
        <w:rPr>
          <w:rFonts w:ascii="David" w:hAnsi="David" w:cs="David" w:hint="cs"/>
          <w:rtl/>
        </w:rPr>
        <w:t>על היתר רעלים בתקופת המעבר לענ</w:t>
      </w:r>
      <w:r w:rsidR="006B5EB9">
        <w:rPr>
          <w:rFonts w:ascii="David" w:hAnsi="David" w:cs="David" w:hint="cs"/>
          <w:rtl/>
        </w:rPr>
        <w:t>י</w:t>
      </w:r>
      <w:r>
        <w:rPr>
          <w:rFonts w:ascii="David" w:hAnsi="David" w:cs="David" w:hint="cs"/>
          <w:rtl/>
        </w:rPr>
        <w:t>ין עיסוק יחולו גם הוראות</w:t>
      </w:r>
      <w:r w:rsidR="00AF6EC6" w:rsidRPr="00D41B9A">
        <w:rPr>
          <w:rFonts w:ascii="David" w:hAnsi="David" w:cs="David" w:hint="cs"/>
          <w:rtl/>
        </w:rPr>
        <w:t xml:space="preserve"> לעניין מקבץ של מקומות עיסוק (סעיף 6ב). </w:t>
      </w:r>
    </w:p>
    <w:p w14:paraId="1E690EBE" w14:textId="77777777" w:rsidR="00CC6B83" w:rsidRPr="00E23A7E" w:rsidRDefault="00CC6B83" w:rsidP="00E23A7E">
      <w:pPr>
        <w:spacing w:line="360" w:lineRule="auto"/>
        <w:jc w:val="both"/>
        <w:rPr>
          <w:rFonts w:ascii="David" w:hAnsi="David" w:cs="David"/>
          <w:sz w:val="24"/>
          <w:szCs w:val="24"/>
        </w:rPr>
      </w:pPr>
    </w:p>
    <w:p w14:paraId="4B81E34D" w14:textId="77777777" w:rsidR="00E23A7E" w:rsidRPr="00E23A7E" w:rsidRDefault="00E23A7E"/>
    <w:sectPr w:rsidR="00E23A7E" w:rsidRPr="00E23A7E" w:rsidSect="00E23A7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6A996" w14:textId="77777777" w:rsidR="004D6066" w:rsidRDefault="004D6066" w:rsidP="000D2FDE">
      <w:r>
        <w:separator/>
      </w:r>
    </w:p>
  </w:endnote>
  <w:endnote w:type="continuationSeparator" w:id="0">
    <w:p w14:paraId="7B078665" w14:textId="77777777" w:rsidR="004D6066" w:rsidRDefault="004D6066" w:rsidP="000D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04523" w14:textId="77777777" w:rsidR="004D6066" w:rsidRDefault="004D6066" w:rsidP="000D2FDE">
      <w:r>
        <w:separator/>
      </w:r>
    </w:p>
  </w:footnote>
  <w:footnote w:type="continuationSeparator" w:id="0">
    <w:p w14:paraId="04D84AFE" w14:textId="77777777" w:rsidR="004D6066" w:rsidRDefault="004D6066" w:rsidP="000D2FDE">
      <w:r>
        <w:continuationSeparator/>
      </w:r>
    </w:p>
  </w:footnote>
  <w:footnote w:id="1">
    <w:p w14:paraId="052AB4E5" w14:textId="5D014AEE" w:rsidR="000D2FDE" w:rsidRDefault="000D2FDE">
      <w:pPr>
        <w:pStyle w:val="FootnoteText"/>
      </w:pPr>
      <w:r>
        <w:rPr>
          <w:rStyle w:val="FootnoteReference"/>
        </w:rPr>
        <w:footnoteRef/>
      </w:r>
      <w:r>
        <w:rPr>
          <w:rtl/>
        </w:rPr>
        <w:t xml:space="preserve"> </w:t>
      </w:r>
      <w:r>
        <w:rPr>
          <w:rFonts w:hint="cs"/>
          <w:rtl/>
        </w:rPr>
        <w:t xml:space="preserve">ביום 16.7.2024 פורסמו תיקוני טעויות לנוסח שפורסם ברשומות.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74553"/>
    <w:multiLevelType w:val="hybridMultilevel"/>
    <w:tmpl w:val="79DC6268"/>
    <w:lvl w:ilvl="0" w:tplc="5952200A">
      <w:start w:val="2"/>
      <w:numFmt w:val="hebrew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5084281"/>
    <w:multiLevelType w:val="hybridMultilevel"/>
    <w:tmpl w:val="E8EC3CE8"/>
    <w:lvl w:ilvl="0" w:tplc="FFFFFFFF">
      <w:start w:val="1"/>
      <w:numFmt w:val="decimal"/>
      <w:lvlText w:val="%1."/>
      <w:lvlJc w:val="left"/>
      <w:pPr>
        <w:ind w:left="720" w:hanging="360"/>
      </w:pPr>
      <w:rPr>
        <w:lang w:val="en-US"/>
      </w:rPr>
    </w:lvl>
    <w:lvl w:ilvl="1" w:tplc="FFFFFFFF">
      <w:start w:val="1"/>
      <w:numFmt w:val="hebrew1"/>
      <w:lvlText w:val="%2."/>
      <w:lvlJc w:val="center"/>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A847937"/>
    <w:multiLevelType w:val="hybridMultilevel"/>
    <w:tmpl w:val="E8EC3CE8"/>
    <w:lvl w:ilvl="0" w:tplc="9B88153A">
      <w:start w:val="1"/>
      <w:numFmt w:val="decimal"/>
      <w:lvlText w:val="%1."/>
      <w:lvlJc w:val="left"/>
      <w:pPr>
        <w:ind w:left="720" w:hanging="360"/>
      </w:pPr>
      <w:rPr>
        <w:lang w:val="en-US"/>
      </w:rPr>
    </w:lvl>
    <w:lvl w:ilvl="1" w:tplc="04090013">
      <w:start w:val="1"/>
      <w:numFmt w:val="hebrew1"/>
      <w:lvlText w:val="%2."/>
      <w:lvlJc w:val="center"/>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596988">
    <w:abstractNumId w:val="2"/>
  </w:num>
  <w:num w:numId="2" w16cid:durableId="127624409">
    <w:abstractNumId w:val="0"/>
  </w:num>
  <w:num w:numId="3" w16cid:durableId="32851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7E"/>
    <w:rsid w:val="00016C3E"/>
    <w:rsid w:val="0002225A"/>
    <w:rsid w:val="00027AAE"/>
    <w:rsid w:val="00031659"/>
    <w:rsid w:val="00043846"/>
    <w:rsid w:val="000564B2"/>
    <w:rsid w:val="0008486E"/>
    <w:rsid w:val="00087435"/>
    <w:rsid w:val="000D2FDE"/>
    <w:rsid w:val="00112750"/>
    <w:rsid w:val="001162D1"/>
    <w:rsid w:val="00126026"/>
    <w:rsid w:val="001518BC"/>
    <w:rsid w:val="00156D98"/>
    <w:rsid w:val="00183134"/>
    <w:rsid w:val="001A3794"/>
    <w:rsid w:val="001F36A9"/>
    <w:rsid w:val="00200828"/>
    <w:rsid w:val="002069BF"/>
    <w:rsid w:val="0021473B"/>
    <w:rsid w:val="002337B5"/>
    <w:rsid w:val="002379C8"/>
    <w:rsid w:val="00252E6C"/>
    <w:rsid w:val="00276241"/>
    <w:rsid w:val="002A0AA0"/>
    <w:rsid w:val="002B6DDB"/>
    <w:rsid w:val="002D1634"/>
    <w:rsid w:val="003371E4"/>
    <w:rsid w:val="0034471D"/>
    <w:rsid w:val="00346C78"/>
    <w:rsid w:val="00375CD6"/>
    <w:rsid w:val="003D61DF"/>
    <w:rsid w:val="003F4E04"/>
    <w:rsid w:val="0040437F"/>
    <w:rsid w:val="00406F37"/>
    <w:rsid w:val="004A2522"/>
    <w:rsid w:val="004D6066"/>
    <w:rsid w:val="005019C5"/>
    <w:rsid w:val="0051021A"/>
    <w:rsid w:val="00517276"/>
    <w:rsid w:val="00531731"/>
    <w:rsid w:val="00533C7A"/>
    <w:rsid w:val="00560BF7"/>
    <w:rsid w:val="00565382"/>
    <w:rsid w:val="00566B2F"/>
    <w:rsid w:val="005779C9"/>
    <w:rsid w:val="005A2E29"/>
    <w:rsid w:val="005C6C1B"/>
    <w:rsid w:val="005E1683"/>
    <w:rsid w:val="005E2465"/>
    <w:rsid w:val="005F0B1C"/>
    <w:rsid w:val="005F707D"/>
    <w:rsid w:val="0063494C"/>
    <w:rsid w:val="006719FD"/>
    <w:rsid w:val="00682A89"/>
    <w:rsid w:val="00692E25"/>
    <w:rsid w:val="006B5EB9"/>
    <w:rsid w:val="006D5694"/>
    <w:rsid w:val="006F09AD"/>
    <w:rsid w:val="006F33E3"/>
    <w:rsid w:val="0073253A"/>
    <w:rsid w:val="00747C1F"/>
    <w:rsid w:val="0075545E"/>
    <w:rsid w:val="007C36D8"/>
    <w:rsid w:val="007F3DE3"/>
    <w:rsid w:val="007F418B"/>
    <w:rsid w:val="0080046F"/>
    <w:rsid w:val="008009EB"/>
    <w:rsid w:val="0083166C"/>
    <w:rsid w:val="00844939"/>
    <w:rsid w:val="00871E6B"/>
    <w:rsid w:val="008B1AA6"/>
    <w:rsid w:val="008F4424"/>
    <w:rsid w:val="0092397C"/>
    <w:rsid w:val="0095033B"/>
    <w:rsid w:val="009641B8"/>
    <w:rsid w:val="009755F2"/>
    <w:rsid w:val="009760BA"/>
    <w:rsid w:val="00981786"/>
    <w:rsid w:val="00995C37"/>
    <w:rsid w:val="009E064D"/>
    <w:rsid w:val="009F6891"/>
    <w:rsid w:val="00A03915"/>
    <w:rsid w:val="00A41904"/>
    <w:rsid w:val="00A4521A"/>
    <w:rsid w:val="00A72AEB"/>
    <w:rsid w:val="00A91E42"/>
    <w:rsid w:val="00A93A10"/>
    <w:rsid w:val="00AA240F"/>
    <w:rsid w:val="00AA721C"/>
    <w:rsid w:val="00AD16A7"/>
    <w:rsid w:val="00AF6EC6"/>
    <w:rsid w:val="00AF7A7D"/>
    <w:rsid w:val="00B108A8"/>
    <w:rsid w:val="00B16425"/>
    <w:rsid w:val="00B25661"/>
    <w:rsid w:val="00B57A48"/>
    <w:rsid w:val="00B60370"/>
    <w:rsid w:val="00B63429"/>
    <w:rsid w:val="00B94E26"/>
    <w:rsid w:val="00B961F8"/>
    <w:rsid w:val="00B96EB8"/>
    <w:rsid w:val="00BF3AB3"/>
    <w:rsid w:val="00C209D6"/>
    <w:rsid w:val="00C354D7"/>
    <w:rsid w:val="00C544BA"/>
    <w:rsid w:val="00C73601"/>
    <w:rsid w:val="00C87D2C"/>
    <w:rsid w:val="00C92E00"/>
    <w:rsid w:val="00CA6995"/>
    <w:rsid w:val="00CB7BFF"/>
    <w:rsid w:val="00CC6B83"/>
    <w:rsid w:val="00CE5D0D"/>
    <w:rsid w:val="00CF4C39"/>
    <w:rsid w:val="00CF6F1B"/>
    <w:rsid w:val="00D0551C"/>
    <w:rsid w:val="00D41B9A"/>
    <w:rsid w:val="00D579CA"/>
    <w:rsid w:val="00D80AD2"/>
    <w:rsid w:val="00D8261F"/>
    <w:rsid w:val="00DB0074"/>
    <w:rsid w:val="00DC65A9"/>
    <w:rsid w:val="00DD77A0"/>
    <w:rsid w:val="00DE37CD"/>
    <w:rsid w:val="00DF4453"/>
    <w:rsid w:val="00DF4EAD"/>
    <w:rsid w:val="00E00ABF"/>
    <w:rsid w:val="00E23A7E"/>
    <w:rsid w:val="00E26FBD"/>
    <w:rsid w:val="00E3502E"/>
    <w:rsid w:val="00E6190E"/>
    <w:rsid w:val="00E834B5"/>
    <w:rsid w:val="00E94D57"/>
    <w:rsid w:val="00E94E9C"/>
    <w:rsid w:val="00EA6435"/>
    <w:rsid w:val="00EB7B79"/>
    <w:rsid w:val="00EB7D4A"/>
    <w:rsid w:val="00F256BF"/>
    <w:rsid w:val="00F655F8"/>
    <w:rsid w:val="00F66F8F"/>
    <w:rsid w:val="00F7424B"/>
    <w:rsid w:val="00FA3624"/>
    <w:rsid w:val="00FC2CC9"/>
    <w:rsid w:val="00FE5E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FBCB"/>
  <w15:chartTrackingRefBased/>
  <w15:docId w15:val="{9DAF3D27-3061-47D2-AECF-F72C8029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7E"/>
    <w:pPr>
      <w:bidi/>
      <w:spacing w:after="0" w:line="240" w:lineRule="auto"/>
    </w:pPr>
    <w:rPr>
      <w:rFonts w:ascii="Aptos" w:hAnsi="Aptos" w:cs="Times New Roman"/>
      <w:kern w:val="0"/>
      <w:sz w:val="22"/>
      <w:szCs w:val="22"/>
    </w:rPr>
  </w:style>
  <w:style w:type="paragraph" w:styleId="Heading1">
    <w:name w:val="heading 1"/>
    <w:basedOn w:val="Normal"/>
    <w:next w:val="Normal"/>
    <w:link w:val="Heading1Char"/>
    <w:uiPriority w:val="9"/>
    <w:qFormat/>
    <w:rsid w:val="00E23A7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E23A7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E23A7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E23A7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E23A7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E23A7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E23A7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E23A7E"/>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E23A7E"/>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A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A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A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A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A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A7E"/>
    <w:rPr>
      <w:rFonts w:eastAsiaTheme="majorEastAsia" w:cstheme="majorBidi"/>
      <w:color w:val="272727" w:themeColor="text1" w:themeTint="D8"/>
    </w:rPr>
  </w:style>
  <w:style w:type="paragraph" w:styleId="Title">
    <w:name w:val="Title"/>
    <w:basedOn w:val="Normal"/>
    <w:next w:val="Normal"/>
    <w:link w:val="TitleChar"/>
    <w:uiPriority w:val="10"/>
    <w:qFormat/>
    <w:rsid w:val="00E23A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A7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E23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A7E"/>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E23A7E"/>
    <w:rPr>
      <w:i/>
      <w:iCs/>
      <w:color w:val="404040" w:themeColor="text1" w:themeTint="BF"/>
    </w:rPr>
  </w:style>
  <w:style w:type="paragraph" w:styleId="ListParagraph">
    <w:name w:val="List Paragraph"/>
    <w:basedOn w:val="Normal"/>
    <w:uiPriority w:val="34"/>
    <w:qFormat/>
    <w:rsid w:val="00E23A7E"/>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E23A7E"/>
    <w:rPr>
      <w:i/>
      <w:iCs/>
      <w:color w:val="0F4761" w:themeColor="accent1" w:themeShade="BF"/>
    </w:rPr>
  </w:style>
  <w:style w:type="paragraph" w:styleId="IntenseQuote">
    <w:name w:val="Intense Quote"/>
    <w:basedOn w:val="Normal"/>
    <w:next w:val="Normal"/>
    <w:link w:val="IntenseQuoteChar"/>
    <w:uiPriority w:val="30"/>
    <w:qFormat/>
    <w:rsid w:val="00E23A7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E23A7E"/>
    <w:rPr>
      <w:i/>
      <w:iCs/>
      <w:color w:val="0F4761" w:themeColor="accent1" w:themeShade="BF"/>
    </w:rPr>
  </w:style>
  <w:style w:type="character" w:styleId="IntenseReference">
    <w:name w:val="Intense Reference"/>
    <w:basedOn w:val="DefaultParagraphFont"/>
    <w:uiPriority w:val="32"/>
    <w:qFormat/>
    <w:rsid w:val="00E23A7E"/>
    <w:rPr>
      <w:b/>
      <w:bCs/>
      <w:smallCaps/>
      <w:color w:val="0F4761" w:themeColor="accent1" w:themeShade="BF"/>
      <w:spacing w:val="5"/>
    </w:rPr>
  </w:style>
  <w:style w:type="character" w:styleId="CommentReference">
    <w:name w:val="annotation reference"/>
    <w:basedOn w:val="DefaultParagraphFont"/>
    <w:uiPriority w:val="99"/>
    <w:semiHidden/>
    <w:unhideWhenUsed/>
    <w:rsid w:val="00B108A8"/>
    <w:rPr>
      <w:sz w:val="16"/>
      <w:szCs w:val="16"/>
    </w:rPr>
  </w:style>
  <w:style w:type="paragraph" w:styleId="CommentText">
    <w:name w:val="annotation text"/>
    <w:basedOn w:val="Normal"/>
    <w:link w:val="CommentTextChar"/>
    <w:uiPriority w:val="99"/>
    <w:unhideWhenUsed/>
    <w:rsid w:val="00B108A8"/>
    <w:rPr>
      <w:sz w:val="20"/>
      <w:szCs w:val="20"/>
    </w:rPr>
  </w:style>
  <w:style w:type="character" w:customStyle="1" w:styleId="CommentTextChar">
    <w:name w:val="Comment Text Char"/>
    <w:basedOn w:val="DefaultParagraphFont"/>
    <w:link w:val="CommentText"/>
    <w:uiPriority w:val="99"/>
    <w:rsid w:val="00B108A8"/>
    <w:rPr>
      <w:rFonts w:ascii="Aptos" w:hAnsi="Aptos" w:cs="Times New Roman"/>
      <w:kern w:val="0"/>
      <w:sz w:val="20"/>
      <w:szCs w:val="20"/>
    </w:rPr>
  </w:style>
  <w:style w:type="paragraph" w:styleId="CommentSubject">
    <w:name w:val="annotation subject"/>
    <w:basedOn w:val="CommentText"/>
    <w:next w:val="CommentText"/>
    <w:link w:val="CommentSubjectChar"/>
    <w:uiPriority w:val="99"/>
    <w:semiHidden/>
    <w:unhideWhenUsed/>
    <w:rsid w:val="00B108A8"/>
    <w:rPr>
      <w:b/>
      <w:bCs/>
    </w:rPr>
  </w:style>
  <w:style w:type="character" w:customStyle="1" w:styleId="CommentSubjectChar">
    <w:name w:val="Comment Subject Char"/>
    <w:basedOn w:val="CommentTextChar"/>
    <w:link w:val="CommentSubject"/>
    <w:uiPriority w:val="99"/>
    <w:semiHidden/>
    <w:rsid w:val="00B108A8"/>
    <w:rPr>
      <w:rFonts w:ascii="Aptos" w:hAnsi="Aptos" w:cs="Times New Roman"/>
      <w:b/>
      <w:bCs/>
      <w:kern w:val="0"/>
      <w:sz w:val="20"/>
      <w:szCs w:val="20"/>
    </w:rPr>
  </w:style>
  <w:style w:type="paragraph" w:styleId="Revision">
    <w:name w:val="Revision"/>
    <w:hidden/>
    <w:uiPriority w:val="99"/>
    <w:semiHidden/>
    <w:rsid w:val="00156D98"/>
    <w:pPr>
      <w:spacing w:after="0" w:line="240" w:lineRule="auto"/>
    </w:pPr>
    <w:rPr>
      <w:rFonts w:ascii="Aptos" w:hAnsi="Aptos" w:cs="Times New Roman"/>
      <w:kern w:val="0"/>
      <w:sz w:val="22"/>
      <w:szCs w:val="22"/>
    </w:rPr>
  </w:style>
  <w:style w:type="paragraph" w:styleId="FootnoteText">
    <w:name w:val="footnote text"/>
    <w:basedOn w:val="Normal"/>
    <w:link w:val="FootnoteTextChar"/>
    <w:uiPriority w:val="99"/>
    <w:semiHidden/>
    <w:unhideWhenUsed/>
    <w:rsid w:val="000D2FDE"/>
    <w:rPr>
      <w:sz w:val="20"/>
      <w:szCs w:val="20"/>
    </w:rPr>
  </w:style>
  <w:style w:type="character" w:customStyle="1" w:styleId="FootnoteTextChar">
    <w:name w:val="Footnote Text Char"/>
    <w:basedOn w:val="DefaultParagraphFont"/>
    <w:link w:val="FootnoteText"/>
    <w:uiPriority w:val="99"/>
    <w:semiHidden/>
    <w:rsid w:val="000D2FDE"/>
    <w:rPr>
      <w:rFonts w:ascii="Aptos" w:hAnsi="Aptos" w:cs="Times New Roman"/>
      <w:kern w:val="0"/>
      <w:sz w:val="20"/>
      <w:szCs w:val="20"/>
    </w:rPr>
  </w:style>
  <w:style w:type="character" w:styleId="FootnoteReference">
    <w:name w:val="footnote reference"/>
    <w:basedOn w:val="DefaultParagraphFont"/>
    <w:uiPriority w:val="99"/>
    <w:semiHidden/>
    <w:unhideWhenUsed/>
    <w:rsid w:val="000D2F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672251">
      <w:bodyDiv w:val="1"/>
      <w:marLeft w:val="0"/>
      <w:marRight w:val="0"/>
      <w:marTop w:val="0"/>
      <w:marBottom w:val="0"/>
      <w:divBdr>
        <w:top w:val="none" w:sz="0" w:space="0" w:color="auto"/>
        <w:left w:val="none" w:sz="0" w:space="0" w:color="auto"/>
        <w:bottom w:val="none" w:sz="0" w:space="0" w:color="auto"/>
        <w:right w:val="none" w:sz="0" w:space="0" w:color="auto"/>
      </w:divBdr>
    </w:div>
    <w:div w:id="126550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CF41EC70BC844F8AD1FEFA26EC715B" ma:contentTypeVersion="6" ma:contentTypeDescription="Create a new document." ma:contentTypeScope="" ma:versionID="616720d2618aeee9ff5a82e022b89b67">
  <xsd:schema xmlns:xsd="http://www.w3.org/2001/XMLSchema" xmlns:xs="http://www.w3.org/2001/XMLSchema" xmlns:p="http://schemas.microsoft.com/office/2006/metadata/properties" xmlns:ns3="66ae43c2-c74d-4d55-8d11-6c320b7860cd" targetNamespace="http://schemas.microsoft.com/office/2006/metadata/properties" ma:root="true" ma:fieldsID="dadeebff9eccad8594fae6ec76bbe87d" ns3:_="">
    <xsd:import namespace="66ae43c2-c74d-4d55-8d11-6c320b7860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e43c2-c74d-4d55-8d11-6c320b78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6ae43c2-c74d-4d55-8d11-6c320b7860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F4DCE-1EBD-4317-8D6B-CEE63C8CC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e43c2-c74d-4d55-8d11-6c320b786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47EA6-3AF9-4534-9C4E-202A49712D04}">
  <ds:schemaRefs>
    <ds:schemaRef ds:uri="http://schemas.openxmlformats.org/officeDocument/2006/bibliography"/>
  </ds:schemaRefs>
</ds:datastoreItem>
</file>

<file path=customXml/itemProps3.xml><?xml version="1.0" encoding="utf-8"?>
<ds:datastoreItem xmlns:ds="http://schemas.openxmlformats.org/officeDocument/2006/customXml" ds:itemID="{BF5DFFC4-712C-4C0F-9346-AF50D2645BB3}">
  <ds:schemaRefs>
    <ds:schemaRef ds:uri="http://schemas.microsoft.com/office/2006/metadata/properties"/>
    <ds:schemaRef ds:uri="http://schemas.microsoft.com/office/infopath/2007/PartnerControls"/>
    <ds:schemaRef ds:uri="66ae43c2-c74d-4d55-8d11-6c320b7860cd"/>
  </ds:schemaRefs>
</ds:datastoreItem>
</file>

<file path=customXml/itemProps4.xml><?xml version="1.0" encoding="utf-8"?>
<ds:datastoreItem xmlns:ds="http://schemas.openxmlformats.org/officeDocument/2006/customXml" ds:itemID="{8FEDEBD0-524A-470F-BFFF-BC3E78CAF9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2539</Words>
  <Characters>12696</Characters>
  <Application>Microsoft Office Word</Application>
  <DocSecurity>0</DocSecurity>
  <Lines>105</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הנחיה לעניין הוראות תחילה ומעבר</dc:title>
  <dc:subject/>
  <dc:creator>מעין פורת-גנץ  Maayan Porat-Ganz</dc:creator>
  <cp:keywords/>
  <dc:description/>
  <cp:lastModifiedBy>אסתר טל  Esther Tal</cp:lastModifiedBy>
  <cp:revision>11</cp:revision>
  <dcterms:created xsi:type="dcterms:W3CDTF">2024-09-16T04:59:00Z</dcterms:created>
  <dcterms:modified xsi:type="dcterms:W3CDTF">2024-09-16T06:27:00Z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0x010100A7CF41EC70BC844F8AD1FEFA26EC715B</vt:lpwstr>
  </property>
</Properties>
</file>